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243698">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26BD35D" w:rsidR="00093CA9" w:rsidRDefault="00DC3C2A"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A8447F7" w:rsidR="00093CA9" w:rsidRDefault="00DC3C2A" w:rsidP="00093CA9">
            <w:r>
              <w:t>USA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BEA5B2E" w:rsidR="00093CA9" w:rsidRDefault="00E15A61" w:rsidP="00093CA9">
            <w:r w:rsidRPr="00E15A61">
              <w:t>DOE Funding to Reduce Methane Emissions from Oil and Gas Sector</w:t>
            </w:r>
            <w:r w:rsidR="00964D72">
              <w:t xml:space="preserve"> (Financial Assistance from the Methane Emissions Reduction Program)</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4606CBC9" w14:textId="05027CE3" w:rsidR="008A7807" w:rsidRPr="00D977B0" w:rsidRDefault="00D977B0" w:rsidP="00093CA9">
            <w:pPr>
              <w:rPr>
                <w:rStyle w:val="Hyperlink"/>
              </w:rPr>
            </w:pPr>
            <w:r>
              <w:fldChar w:fldCharType="begin"/>
            </w:r>
            <w:r>
              <w:instrText>HYPERLINK "https://web.archive.org/web/20250625232938/https:/www.energy.gov/fecm/methane-emissions-reduction-program-technical-and-financial-assistance"</w:instrText>
            </w:r>
            <w:r>
              <w:fldChar w:fldCharType="separate"/>
            </w:r>
            <w:r w:rsidR="008A7807" w:rsidRPr="00D977B0">
              <w:rPr>
                <w:rStyle w:val="Hyperlink"/>
              </w:rPr>
              <w:t>Methane Emissions Reduction Program – Technical and Financial Assistance | Department of Energy</w:t>
            </w:r>
          </w:p>
          <w:p w14:paraId="4171EBFA" w14:textId="62B4AB2D" w:rsidR="008A7807" w:rsidRPr="00D977B0" w:rsidRDefault="00D977B0" w:rsidP="00093CA9">
            <w:pPr>
              <w:rPr>
                <w:rStyle w:val="Hyperlink"/>
              </w:rPr>
            </w:pPr>
            <w:r>
              <w:fldChar w:fldCharType="end"/>
            </w:r>
            <w:r>
              <w:fldChar w:fldCharType="begin"/>
            </w:r>
            <w:r>
              <w:instrText>HYPERLINK "https://web.archive.org/web/20250625233045/https:/www.epa.gov/inflation-reduction-act/methane-emissions-reduction-program-and-ghgrp-subpart-w-petroleum-and"</w:instrText>
            </w:r>
            <w:r>
              <w:fldChar w:fldCharType="separate"/>
            </w:r>
            <w:r w:rsidR="008A7807" w:rsidRPr="00D977B0">
              <w:rPr>
                <w:rStyle w:val="Hyperlink"/>
              </w:rPr>
              <w:t xml:space="preserve">Methane Emissions Reduction Program and </w:t>
            </w:r>
            <w:proofErr w:type="spellStart"/>
            <w:r w:rsidR="008A7807" w:rsidRPr="00D977B0">
              <w:rPr>
                <w:rStyle w:val="Hyperlink"/>
              </w:rPr>
              <w:t>GHGRP</w:t>
            </w:r>
            <w:proofErr w:type="spellEnd"/>
            <w:r w:rsidR="008A7807" w:rsidRPr="00D977B0">
              <w:rPr>
                <w:rStyle w:val="Hyperlink"/>
              </w:rPr>
              <w:t xml:space="preserve"> Subpart W (Petroleum and Natural Gas Systems) | US EPA</w:t>
            </w:r>
          </w:p>
          <w:p w14:paraId="1523C232" w14:textId="19749059" w:rsidR="008A7807" w:rsidRDefault="00D977B0" w:rsidP="00093CA9">
            <w:r>
              <w:fldChar w:fldCharType="end"/>
            </w:r>
            <w:hyperlink r:id="rId19" w:history="1">
              <w:r w:rsidR="008A7807" w:rsidRPr="008A7807">
                <w:rPr>
                  <w:rStyle w:val="Hyperlink"/>
                </w:rPr>
                <w:t>Methane Emissions Reduction Program | US EPA</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66E32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8CAB8F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E8D4C2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DB01D2E" w:rsidR="00093CA9" w:rsidRDefault="00706541"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ECA2303" w14:textId="543B8746" w:rsidR="002C6E63" w:rsidRDefault="002C6E63" w:rsidP="00093CA9">
            <w:r>
              <w:t xml:space="preserve">The funding to be disbursed in grants pursuant to this program has the following goals: </w:t>
            </w:r>
          </w:p>
          <w:p w14:paraId="161266D0" w14:textId="77777777" w:rsidR="002C6E63" w:rsidRDefault="002C6E63" w:rsidP="002C6E63">
            <w:pPr>
              <w:pStyle w:val="ListParagraph"/>
              <w:numPr>
                <w:ilvl w:val="0"/>
                <w:numId w:val="53"/>
              </w:numPr>
            </w:pPr>
            <w:r>
              <w:t xml:space="preserve">Mitigate, to the maximum extent possible, methane and other GHG emissions by assisting the states and owner/operators to voluntarily identify and permanently plug </w:t>
            </w:r>
            <w:proofErr w:type="gramStart"/>
            <w:r>
              <w:t>MCWs;</w:t>
            </w:r>
            <w:proofErr w:type="gramEnd"/>
          </w:p>
          <w:p w14:paraId="5798A920" w14:textId="77777777" w:rsidR="002C6E63" w:rsidRDefault="002C6E63" w:rsidP="002C6E63">
            <w:pPr>
              <w:pStyle w:val="ListParagraph"/>
              <w:numPr>
                <w:ilvl w:val="0"/>
                <w:numId w:val="53"/>
              </w:numPr>
            </w:pPr>
            <w:r>
              <w:t xml:space="preserve">Measure methane emissions to provide a preliminary screening of emissions from MCW sites as a mechanism to inform plugging </w:t>
            </w:r>
            <w:proofErr w:type="gramStart"/>
            <w:r>
              <w:t>prioritization;</w:t>
            </w:r>
            <w:proofErr w:type="gramEnd"/>
            <w:r>
              <w:t xml:space="preserve"> </w:t>
            </w:r>
          </w:p>
          <w:p w14:paraId="1608A741" w14:textId="77777777" w:rsidR="002C6E63" w:rsidRDefault="002C6E63" w:rsidP="002C6E63">
            <w:pPr>
              <w:pStyle w:val="ListParagraph"/>
              <w:numPr>
                <w:ilvl w:val="0"/>
                <w:numId w:val="53"/>
              </w:numPr>
            </w:pPr>
            <w:r>
              <w:t xml:space="preserve">Measure methane emissions from MCW sites prior to and following the plugging and abandonment to quantify mitigated emissions; and </w:t>
            </w:r>
          </w:p>
          <w:p w14:paraId="18257824" w14:textId="2135F18B" w:rsidR="002C6E63" w:rsidRDefault="002C6E63" w:rsidP="00D977B0">
            <w:pPr>
              <w:pStyle w:val="ListParagraph"/>
              <w:numPr>
                <w:ilvl w:val="0"/>
                <w:numId w:val="53"/>
              </w:numPr>
            </w:pPr>
            <w:r>
              <w:t xml:space="preserve">Support elements of environmental restoration for full compliance with applicable state or Federal well plugging and abandonment standards and regulations.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D103D7D" w:rsidR="00093CA9" w:rsidRDefault="001B76A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0F8218AE"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14E5B3D3" w:rsidR="00093CA9" w:rsidRDefault="00A8140E" w:rsidP="00093CA9">
            <w:r>
              <w:t xml:space="preserve">The Trump administration </w:t>
            </w:r>
            <w:r w:rsidR="00A61A88">
              <w:t xml:space="preserve">has </w:t>
            </w:r>
            <w:r w:rsidR="00706439">
              <w:t xml:space="preserve">imposed funding freezes on </w:t>
            </w:r>
            <w:r w:rsidR="00A61A88">
              <w:t xml:space="preserve">grants of monies </w:t>
            </w:r>
            <w:r w:rsidR="00706439">
              <w:t xml:space="preserve">earmarked </w:t>
            </w:r>
            <w:r w:rsidR="00A61A88">
              <w:t xml:space="preserve">to be used to fund projects focused on reducing, monitoring, and quantifying methane emissions in various states. </w:t>
            </w:r>
            <w:r w:rsidR="004F15F4">
              <w:t xml:space="preserve">While some funding has been restored following successful court challenges, the program’s implementation has been </w:t>
            </w:r>
            <w:r w:rsidR="00FE2BD2">
              <w:t>interrupted,</w:t>
            </w:r>
            <w:r w:rsidR="004F15F4">
              <w:t xml:space="preserve"> and it remains to be seen whether the program will be further impeded by the Trump administration.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2B73724" w:rsidR="00093CA9" w:rsidRPr="00173D7C" w:rsidRDefault="00FF309E"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EC30A12" w:rsidR="00093CA9" w:rsidRPr="00173D7C" w:rsidRDefault="008A7807"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58A977C9" w14:textId="691046D3" w:rsidR="005F2CB0" w:rsidRPr="00F86B69" w:rsidRDefault="005F2CB0" w:rsidP="002C380C">
            <w:pPr>
              <w:rPr>
                <w:color w:val="000000" w:themeColor="text1"/>
              </w:rPr>
            </w:pPr>
            <w:r w:rsidRPr="002C380C">
              <w:rPr>
                <w:color w:val="000000" w:themeColor="text1"/>
              </w:rPr>
              <w:t xml:space="preserve">There has been some $1.36 billion allocated for methane monitoring and reduction in the oil and gas sector under the Methane Emissions Reduction Program (“MERP”).  These funds have been distributed in the form of grants to programs in various states across multiple years. </w:t>
            </w:r>
          </w:p>
          <w:p w14:paraId="67BECC6D" w14:textId="1BB3B813" w:rsidR="008A7807" w:rsidRPr="008A7807" w:rsidRDefault="008A7807" w:rsidP="008A7807">
            <w:pPr>
              <w:pStyle w:val="ListParagraph"/>
              <w:numPr>
                <w:ilvl w:val="0"/>
                <w:numId w:val="49"/>
              </w:numPr>
              <w:rPr>
                <w:color w:val="000000" w:themeColor="text1"/>
              </w:rPr>
            </w:pPr>
            <w:r w:rsidRPr="008A7807">
              <w:rPr>
                <w:color w:val="000000" w:themeColor="text1"/>
              </w:rPr>
              <w:t>$32M R&amp;D Funding (</w:t>
            </w:r>
            <w:r w:rsidR="006518B8">
              <w:rPr>
                <w:color w:val="000000" w:themeColor="text1"/>
              </w:rPr>
              <w:t xml:space="preserve">adopted in 2022, </w:t>
            </w:r>
            <w:r w:rsidRPr="008A7807">
              <w:rPr>
                <w:color w:val="000000" w:themeColor="text1"/>
              </w:rPr>
              <w:t>2023–2024): Competitive R&amp;D awards</w:t>
            </w:r>
          </w:p>
          <w:p w14:paraId="1DB553C2" w14:textId="281FAC7D" w:rsidR="008A7807" w:rsidRPr="008A7807" w:rsidRDefault="008A7807" w:rsidP="008A7807">
            <w:pPr>
              <w:pStyle w:val="ListParagraph"/>
              <w:numPr>
                <w:ilvl w:val="0"/>
                <w:numId w:val="49"/>
              </w:numPr>
              <w:rPr>
                <w:color w:val="000000" w:themeColor="text1"/>
              </w:rPr>
            </w:pPr>
            <w:r w:rsidRPr="008A7807">
              <w:rPr>
                <w:color w:val="000000" w:themeColor="text1"/>
              </w:rPr>
              <w:t>$47M Tech Deployment (adopted in 2023, entry into force 2024): Field validation and deployment</w:t>
            </w:r>
          </w:p>
          <w:p w14:paraId="3BD9D9E5" w14:textId="77777777" w:rsidR="008A7807" w:rsidRPr="008A7807" w:rsidRDefault="008A7807" w:rsidP="008A7807">
            <w:pPr>
              <w:pStyle w:val="ListParagraph"/>
              <w:numPr>
                <w:ilvl w:val="0"/>
                <w:numId w:val="49"/>
              </w:numPr>
              <w:rPr>
                <w:color w:val="000000" w:themeColor="text1"/>
              </w:rPr>
            </w:pPr>
            <w:r w:rsidRPr="008A7807">
              <w:rPr>
                <w:color w:val="000000" w:themeColor="text1"/>
              </w:rPr>
              <w:t>$350M Formula Funding (adopted in 2023, entry into force 2024–2025: Distributed to 14 states</w:t>
            </w:r>
          </w:p>
          <w:p w14:paraId="1A1B9D26" w14:textId="06F2FD9A" w:rsidR="00093CA9" w:rsidRPr="008A7807" w:rsidRDefault="008A7807" w:rsidP="008A7807">
            <w:pPr>
              <w:pStyle w:val="ListParagraph"/>
              <w:numPr>
                <w:ilvl w:val="0"/>
                <w:numId w:val="49"/>
              </w:numPr>
              <w:rPr>
                <w:color w:val="000000" w:themeColor="text1"/>
              </w:rPr>
            </w:pPr>
            <w:r w:rsidRPr="008A7807">
              <w:rPr>
                <w:color w:val="000000" w:themeColor="text1"/>
              </w:rPr>
              <w:t>$850M Competitive Projects (adopted 2024, implementation begins 2025): 43 projects selected for negotiation</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07B058D" w:rsidR="00093CA9" w:rsidRDefault="00457563" w:rsidP="00093CA9">
            <w:r>
              <w:t>Regulatory 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B9D9B21" w:rsidR="00093CA9" w:rsidRPr="006B7B0D" w:rsidRDefault="00FA64BE" w:rsidP="00FA64BE">
            <w:r>
              <w:t>U.S. Environmental Protection Agency (EPA)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A8ECFD7" w:rsidR="00093CA9" w:rsidRPr="006B7B0D" w:rsidRDefault="006254C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347028A" w:rsidR="00093CA9" w:rsidRPr="006B7B0D" w:rsidRDefault="006254CA" w:rsidP="00093CA9">
            <w:r w:rsidRPr="006254CA">
              <w:t>U.S. Department of Energy (DOE)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486634D" w:rsidR="00093CA9" w:rsidRPr="006B7B0D" w:rsidRDefault="006254CA"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A86BCB4" w:rsidR="00093CA9" w:rsidRPr="006B7B0D" w:rsidRDefault="006254CA" w:rsidP="00093CA9">
            <w:r w:rsidRPr="006254CA">
              <w:t>National Energy Technology Laboratory (NETL)</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229C4E00" w:rsidR="00093CA9" w:rsidRPr="006B7B0D" w:rsidRDefault="006254CA"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57DF1603" w:rsidR="00093CA9" w:rsidRPr="006B7B0D" w:rsidRDefault="00A24BFE" w:rsidP="00093CA9">
            <w:r>
              <w:t>Office of Fossil Energy and Carbon Management (FECM)</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0C33E5BA" w:rsidR="00093CA9" w:rsidRPr="006B7B0D" w:rsidRDefault="00A24BFE" w:rsidP="00093CA9">
            <w:r>
              <w:t>X</w:t>
            </w: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9AA61A1" w:rsidR="00093CA9" w:rsidRDefault="006254CA" w:rsidP="00093CA9">
            <w:r>
              <w:t xml:space="preserve">Under </w:t>
            </w:r>
            <w:r w:rsidRPr="006254CA">
              <w:t>Section 60113 of the Inflation Reduction Act (IRA)</w:t>
            </w:r>
            <w:r>
              <w:t>, t</w:t>
            </w:r>
            <w:r w:rsidR="00EC08B4">
              <w:t xml:space="preserve">he </w:t>
            </w:r>
            <w:r w:rsidR="00EC08B4" w:rsidRPr="00EC08B4">
              <w:t>Environmental Protection Agency (EPA) is responsible for the regulatory backbone of MERP</w:t>
            </w:r>
            <w:r w:rsidR="00FE2BD2">
              <w:t>.</w:t>
            </w:r>
            <w:r w:rsidR="00EC08B4">
              <w:t xml:space="preserve"> </w:t>
            </w:r>
            <w:r w:rsidR="00EC08B4" w:rsidRPr="00EC08B4">
              <w:t>The Department of Energy (DOE), specifically through the Office of Fossil Energy and Carbon Management (FECM) and National Energy Technology Laboratory (NETL), leads the programmatic side of MERP</w:t>
            </w:r>
            <w:r w:rsidR="00EC08B4">
              <w:t>, including designing and administering funding programs, supporting technology development and deployment, and engaging stakeholders.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99E402F" w:rsidR="00093CA9" w:rsidRDefault="00EC08B4"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620CA2A" w:rsidR="00EC08B4" w:rsidRPr="008017F9" w:rsidRDefault="00EC08B4" w:rsidP="00093CA9">
            <w:pPr>
              <w:keepNext/>
              <w:rPr>
                <w:color w:val="000000" w:themeColor="text1"/>
              </w:rPr>
            </w:pPr>
            <w:r>
              <w:rPr>
                <w:color w:val="000000" w:themeColor="text1"/>
              </w:rPr>
              <w:t xml:space="preserve">The Department of Energy (DOE) monitors </w:t>
            </w:r>
            <w:r w:rsidR="00A12190">
              <w:rPr>
                <w:color w:val="000000" w:themeColor="text1"/>
              </w:rPr>
              <w:t xml:space="preserve">and publishes information concerning its funding grants </w:t>
            </w:r>
            <w:r>
              <w:rPr>
                <w:color w:val="000000" w:themeColor="text1"/>
              </w:rPr>
              <w:t>through Funding Opportunity Announcements (FOAs) and NETL Project Tracking. Both the EPA and DOE maintain open data portals and project dashboards for transparency.</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103E7F0D"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4360AF1E" w:rsidR="002F0752" w:rsidRPr="00CF2E7C" w:rsidRDefault="002F0752" w:rsidP="00CF2E7C">
            <w:pPr>
              <w:rPr>
                <w:rFonts w:ascii="Calibri" w:hAnsi="Calibri" w:cs="Calibri"/>
              </w:rPr>
            </w:pPr>
          </w:p>
        </w:tc>
        <w:tc>
          <w:tcPr>
            <w:tcW w:w="1482" w:type="dxa"/>
            <w:vAlign w:val="center"/>
          </w:tcPr>
          <w:p w14:paraId="137010FB" w14:textId="465B72C1" w:rsidR="002F0752" w:rsidRPr="00CF2E7C" w:rsidRDefault="009A53C4" w:rsidP="00CF2E7C">
            <w:pPr>
              <w:rPr>
                <w:rFonts w:ascii="Calibri" w:hAnsi="Calibri" w:cs="Calibri"/>
              </w:rPr>
            </w:pPr>
            <w:r>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416F4905" w:rsidR="002F0752" w:rsidRPr="00CF2E7C" w:rsidRDefault="002F0752" w:rsidP="00CF2E7C">
            <w:pPr>
              <w:rPr>
                <w:rFonts w:ascii="Calibri" w:hAnsi="Calibri" w:cs="Calibri"/>
              </w:rPr>
            </w:pPr>
          </w:p>
        </w:tc>
        <w:tc>
          <w:tcPr>
            <w:tcW w:w="1482" w:type="dxa"/>
            <w:vAlign w:val="center"/>
          </w:tcPr>
          <w:p w14:paraId="30D9A413" w14:textId="3F435C08" w:rsidR="002F0752" w:rsidRPr="00CF2E7C" w:rsidRDefault="009A53C4"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4FD116E6" w:rsidR="002F0752" w:rsidRPr="00CF2E7C" w:rsidRDefault="00E63190"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23685CF5" w:rsidR="002F0752" w:rsidRPr="00CF2E7C" w:rsidRDefault="00E63190"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0DA74DF9" w:rsidR="002F0752" w:rsidRPr="00CF2E7C" w:rsidRDefault="002F0752" w:rsidP="00CF2E7C">
            <w:pPr>
              <w:rPr>
                <w:rFonts w:ascii="Calibri" w:hAnsi="Calibri" w:cs="Calibri"/>
              </w:rPr>
            </w:pPr>
          </w:p>
        </w:tc>
        <w:tc>
          <w:tcPr>
            <w:tcW w:w="1482" w:type="dxa"/>
            <w:vAlign w:val="center"/>
          </w:tcPr>
          <w:p w14:paraId="6807EF61" w14:textId="1815CC2B" w:rsidR="002F0752" w:rsidRPr="00CF2E7C" w:rsidRDefault="009A53C4" w:rsidP="00CF2E7C">
            <w:pPr>
              <w:rPr>
                <w:rFonts w:ascii="Calibri" w:hAnsi="Calibri" w:cs="Calibri"/>
              </w:rPr>
            </w:pPr>
            <w:r>
              <w:rPr>
                <w:rFonts w:ascii="Calibri" w:hAnsi="Calibri" w:cs="Calibri"/>
              </w:rPr>
              <w:t>X</w:t>
            </w: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5C2EFF4" w:rsidR="002F0752" w:rsidRPr="00CF2E7C" w:rsidRDefault="00E63190" w:rsidP="00CF2E7C">
            <w:pPr>
              <w:rPr>
                <w:rFonts w:ascii="Calibri" w:hAnsi="Calibri" w:cs="Calibri"/>
              </w:rPr>
            </w:pPr>
            <w:r>
              <w:rPr>
                <w:rFonts w:ascii="Calibri" w:hAnsi="Calibri" w:cs="Calibri"/>
              </w:rPr>
              <w:t>X</w:t>
            </w: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27C5262" w:rsidR="002F0752" w:rsidRPr="00CF2E7C" w:rsidRDefault="00E63190"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0671656D" w:rsidR="002F0752" w:rsidRPr="00CF2E7C" w:rsidRDefault="00E63190" w:rsidP="00CF2E7C">
            <w:pPr>
              <w:rPr>
                <w:rFonts w:ascii="Calibri" w:hAnsi="Calibri" w:cs="Calibri"/>
              </w:rPr>
            </w:pPr>
            <w:r>
              <w:rPr>
                <w:rFonts w:ascii="Calibri" w:hAnsi="Calibri" w:cs="Calibri"/>
              </w:rPr>
              <w:t>X</w:t>
            </w: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474CC8AF" w:rsidR="002F0752" w:rsidRPr="00CF2E7C" w:rsidRDefault="00E63190" w:rsidP="00CF2E7C">
            <w:pPr>
              <w:rPr>
                <w:rFonts w:ascii="Calibri" w:hAnsi="Calibri" w:cs="Calibri"/>
              </w:rPr>
            </w:pPr>
            <w:r>
              <w:rPr>
                <w:rFonts w:ascii="Calibri" w:hAnsi="Calibri" w:cs="Calibri"/>
              </w:rPr>
              <w:t>X</w:t>
            </w: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67BBC35B" w:rsidR="002F0752" w:rsidRPr="00CF2E7C" w:rsidRDefault="00E63190" w:rsidP="00CF2E7C">
            <w:pPr>
              <w:rPr>
                <w:rFonts w:ascii="Calibri" w:hAnsi="Calibri" w:cs="Calibri"/>
              </w:rPr>
            </w:pPr>
            <w:r>
              <w:rPr>
                <w:rFonts w:ascii="Calibri" w:hAnsi="Calibri" w:cs="Calibri"/>
              </w:rPr>
              <w:t>X</w:t>
            </w: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29425579" w:rsidR="002F0752" w:rsidRPr="00CF2E7C" w:rsidRDefault="00E63190"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0D5CD82" w:rsidR="002F0752" w:rsidRPr="00CF2E7C" w:rsidRDefault="00E63190"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67A6B951" w:rsidR="002F0752" w:rsidRPr="00CF2E7C" w:rsidRDefault="00D42E4F" w:rsidP="00CF2E7C">
            <w:pPr>
              <w:rPr>
                <w:rFonts w:ascii="Calibri" w:hAnsi="Calibri" w:cs="Calibri"/>
              </w:rPr>
            </w:pPr>
            <w:r>
              <w:rPr>
                <w:rFonts w:ascii="Calibri" w:hAnsi="Calibri" w:cs="Calibri"/>
              </w:rPr>
              <w:t>X</w:t>
            </w:r>
          </w:p>
        </w:tc>
        <w:tc>
          <w:tcPr>
            <w:tcW w:w="1483" w:type="dxa"/>
            <w:vAlign w:val="center"/>
          </w:tcPr>
          <w:p w14:paraId="75D69809" w14:textId="02203E42"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51DEA947" w:rsidR="002F0752" w:rsidRPr="00CF2E7C" w:rsidRDefault="00EC08B4" w:rsidP="00CF2E7C">
            <w:pPr>
              <w:rPr>
                <w:rFonts w:ascii="Calibri" w:hAnsi="Calibri" w:cs="Calibri"/>
              </w:rPr>
            </w:pPr>
            <w:r w:rsidRPr="00EC08B4">
              <w:rPr>
                <w:rFonts w:ascii="Calibri" w:hAnsi="Calibri" w:cs="Calibri"/>
              </w:rPr>
              <w:t xml:space="preserve">Tribal governments and communities are </w:t>
            </w:r>
            <w:r>
              <w:rPr>
                <w:rFonts w:ascii="Calibri" w:hAnsi="Calibri" w:cs="Calibri"/>
              </w:rPr>
              <w:t xml:space="preserve">also </w:t>
            </w:r>
            <w:r w:rsidRPr="00EC08B4">
              <w:rPr>
                <w:rFonts w:ascii="Calibri" w:hAnsi="Calibri" w:cs="Calibri"/>
              </w:rPr>
              <w:t>explicitly included as eligible participants in MERP funding opportunities, particularly for technical assistance and methane monitoring projects.</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63D28144" w:rsidR="002F0752" w:rsidRPr="00CF2E7C" w:rsidRDefault="00E63190"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50F802EB" w:rsidR="002F0752" w:rsidRPr="00CF2E7C" w:rsidRDefault="002F0752" w:rsidP="00CF2E7C">
            <w:pPr>
              <w:rPr>
                <w:rFonts w:ascii="Calibri" w:hAnsi="Calibri" w:cs="Calibri"/>
              </w:rPr>
            </w:pPr>
          </w:p>
        </w:tc>
        <w:tc>
          <w:tcPr>
            <w:tcW w:w="1482" w:type="dxa"/>
            <w:vAlign w:val="center"/>
          </w:tcPr>
          <w:p w14:paraId="091AFCE4" w14:textId="131C2854" w:rsidR="002F0752" w:rsidRPr="00CF2E7C" w:rsidRDefault="002F0752" w:rsidP="00CF2E7C">
            <w:pPr>
              <w:rPr>
                <w:rFonts w:ascii="Calibri" w:hAnsi="Calibri" w:cs="Calibri"/>
              </w:rPr>
            </w:pPr>
          </w:p>
        </w:tc>
        <w:tc>
          <w:tcPr>
            <w:tcW w:w="1483" w:type="dxa"/>
            <w:vAlign w:val="center"/>
          </w:tcPr>
          <w:p w14:paraId="6B645A31" w14:textId="367F7B6B" w:rsidR="002F0752" w:rsidRPr="00CF2E7C" w:rsidRDefault="00BC469D"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6B09DCEB" w:rsidR="002F0752" w:rsidRPr="00CF2E7C" w:rsidRDefault="00E63190"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251A11CA" w:rsidR="002F0752" w:rsidRPr="00CF2E7C" w:rsidRDefault="002F0752" w:rsidP="00CF2E7C">
            <w:pPr>
              <w:rPr>
                <w:rFonts w:ascii="Calibri" w:hAnsi="Calibri" w:cs="Calibri"/>
              </w:rPr>
            </w:pPr>
          </w:p>
        </w:tc>
        <w:tc>
          <w:tcPr>
            <w:tcW w:w="1482" w:type="dxa"/>
            <w:vAlign w:val="center"/>
          </w:tcPr>
          <w:p w14:paraId="70224B4D" w14:textId="3308EA34" w:rsidR="002F0752" w:rsidRPr="00CF2E7C" w:rsidRDefault="0065275D" w:rsidP="00CF2E7C">
            <w:pPr>
              <w:rPr>
                <w:rFonts w:ascii="Calibri" w:hAnsi="Calibri" w:cs="Calibri"/>
              </w:rPr>
            </w:pPr>
            <w:r>
              <w:rPr>
                <w:rFonts w:ascii="Calibri" w:hAnsi="Calibri" w:cs="Calibri"/>
              </w:rPr>
              <w:t>X</w:t>
            </w: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46B60533" w:rsidR="002F0752" w:rsidRPr="00CF2E7C" w:rsidRDefault="00E63190"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4FF244A7" w:rsidR="002F0752" w:rsidRPr="00CF2E7C" w:rsidRDefault="00E63190"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1C408D51" w:rsidR="002F0752" w:rsidRPr="00CF2E7C" w:rsidRDefault="00E63190"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37A1D50" w:rsidR="002F0752" w:rsidRPr="00CF2E7C" w:rsidRDefault="00E63190"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2EC36B71" w:rsidR="002F0752" w:rsidRPr="00CF2E7C" w:rsidRDefault="00E63190"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19FD9EC0" w:rsidR="002F0752" w:rsidRPr="00CF2E7C" w:rsidRDefault="00E63190"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31BFF747" w:rsidR="002F0752" w:rsidRPr="00CF2E7C" w:rsidRDefault="00E63190"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2C7E3C3B" w:rsidR="002F0752" w:rsidRPr="00CF2E7C" w:rsidRDefault="00E63190"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079DB898" w:rsidR="002F0752" w:rsidRPr="00CF2E7C" w:rsidRDefault="002F0752" w:rsidP="00CF2E7C">
            <w:pPr>
              <w:rPr>
                <w:rFonts w:ascii="Calibri" w:hAnsi="Calibri" w:cs="Calibri"/>
              </w:rPr>
            </w:pPr>
          </w:p>
        </w:tc>
        <w:tc>
          <w:tcPr>
            <w:tcW w:w="1482" w:type="dxa"/>
            <w:vAlign w:val="center"/>
          </w:tcPr>
          <w:p w14:paraId="43908237" w14:textId="18ADD03F" w:rsidR="002F0752" w:rsidRPr="00CF2E7C" w:rsidRDefault="002F0752" w:rsidP="00CF2E7C">
            <w:pPr>
              <w:rPr>
                <w:rFonts w:ascii="Calibri" w:hAnsi="Calibri" w:cs="Calibri"/>
              </w:rPr>
            </w:pPr>
          </w:p>
        </w:tc>
        <w:tc>
          <w:tcPr>
            <w:tcW w:w="1483" w:type="dxa"/>
            <w:vAlign w:val="center"/>
          </w:tcPr>
          <w:p w14:paraId="19E03FB1" w14:textId="22C04905" w:rsidR="002F0752" w:rsidRPr="00CF2E7C" w:rsidRDefault="00C93CB7"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01D96A52" w:rsidR="002F0752" w:rsidRPr="00CF2E7C" w:rsidRDefault="00E63190"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0CD078D3" w:rsidR="002F0752" w:rsidRPr="00CF2E7C" w:rsidRDefault="00E63190"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34B7F080" w:rsidR="002F0752" w:rsidRPr="00CF2E7C" w:rsidRDefault="00E63190"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0F9231AA" w:rsidR="002F0752" w:rsidRPr="00CF2E7C" w:rsidRDefault="00E63190"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68802CF" w:rsidR="002F0752" w:rsidRPr="00CF2E7C" w:rsidRDefault="00E63190"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5AE0C2A9" w:rsidR="002F0752" w:rsidRPr="00CF2E7C" w:rsidRDefault="00E63190"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B98AE93" w:rsidR="002F0752" w:rsidRPr="00CF2E7C" w:rsidRDefault="00E63190"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2B6E2DCC" w:rsidR="002F0752" w:rsidRPr="00CF2E7C" w:rsidRDefault="00E63190"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36FB8E0B" w:rsidR="002F0752" w:rsidRPr="00CF2E7C" w:rsidRDefault="002F0752" w:rsidP="00CF2E7C">
            <w:pPr>
              <w:rPr>
                <w:rFonts w:ascii="Calibri" w:hAnsi="Calibri" w:cs="Calibri"/>
              </w:rPr>
            </w:pPr>
          </w:p>
        </w:tc>
        <w:tc>
          <w:tcPr>
            <w:tcW w:w="1482" w:type="dxa"/>
            <w:vAlign w:val="center"/>
          </w:tcPr>
          <w:p w14:paraId="11ADAA94" w14:textId="12CC997C" w:rsidR="002F0752" w:rsidRPr="00CF2E7C" w:rsidRDefault="002F0752" w:rsidP="00CF2E7C">
            <w:pPr>
              <w:rPr>
                <w:rFonts w:ascii="Calibri" w:hAnsi="Calibri" w:cs="Calibri"/>
              </w:rPr>
            </w:pPr>
          </w:p>
        </w:tc>
        <w:tc>
          <w:tcPr>
            <w:tcW w:w="1483" w:type="dxa"/>
            <w:vAlign w:val="center"/>
          </w:tcPr>
          <w:p w14:paraId="4E759827" w14:textId="626976B7" w:rsidR="002F0752" w:rsidRPr="00CF2E7C" w:rsidRDefault="001A1B21"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2192A2F1"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65798393"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28398164"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lastRenderedPageBreak/>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1B7074A1" w:rsidR="002F0752" w:rsidRPr="00CF2E7C" w:rsidRDefault="00B31E65" w:rsidP="00CF2E7C">
            <w:pPr>
              <w:rPr>
                <w:rFonts w:ascii="Calibri" w:hAnsi="Calibri" w:cs="Calibri"/>
              </w:rPr>
            </w:pPr>
            <w:r w:rsidRPr="00B31E65">
              <w:rPr>
                <w:rFonts w:ascii="Calibri" w:hAnsi="Calibri" w:cs="Calibri"/>
              </w:rPr>
              <w:t>Location-based eligibility applies primarily to state-administered formula fundin</w:t>
            </w:r>
            <w:r>
              <w:rPr>
                <w:rFonts w:ascii="Calibri" w:hAnsi="Calibri" w:cs="Calibri"/>
              </w:rPr>
              <w:t xml:space="preserve">g (e.g., </w:t>
            </w:r>
            <w:r w:rsidRPr="00B31E65">
              <w:rPr>
                <w:rFonts w:ascii="Calibri" w:hAnsi="Calibri" w:cs="Calibri"/>
              </w:rPr>
              <w:t>$350M was distributed to 14 states for well-plugging programs, and applicants must operate within those states</w:t>
            </w:r>
            <w:r>
              <w:rPr>
                <w:rFonts w:ascii="Calibri" w:hAnsi="Calibri" w:cs="Calibri"/>
              </w:rPr>
              <w:t>)</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39C57DA1" w14:textId="45EB1082" w:rsidR="00ED1DE2" w:rsidRDefault="007C650E" w:rsidP="00CF2E7C">
            <w:pPr>
              <w:rPr>
                <w:rFonts w:ascii="Calibri" w:hAnsi="Calibri" w:cs="Calibri"/>
              </w:rPr>
            </w:pPr>
            <w:r>
              <w:rPr>
                <w:rFonts w:ascii="Calibri" w:hAnsi="Calibri" w:cs="Calibri"/>
              </w:rPr>
              <w:t xml:space="preserve">Competitive grants </w:t>
            </w:r>
            <w:r w:rsidR="00285CB6">
              <w:rPr>
                <w:rFonts w:ascii="Calibri" w:hAnsi="Calibri" w:cs="Calibri"/>
              </w:rPr>
              <w:t xml:space="preserve">were </w:t>
            </w:r>
            <w:r w:rsidR="00ED1DE2">
              <w:rPr>
                <w:rFonts w:ascii="Calibri" w:hAnsi="Calibri" w:cs="Calibri"/>
              </w:rPr>
              <w:t xml:space="preserve">approved for projects across three Areas of Interest: </w:t>
            </w:r>
          </w:p>
          <w:p w14:paraId="43A11C61" w14:textId="094BACEF" w:rsidR="00ED1DE2" w:rsidRPr="00CF2E7C" w:rsidRDefault="00ED1DE2" w:rsidP="00CF2E7C">
            <w:pPr>
              <w:rPr>
                <w:rFonts w:ascii="Calibri" w:hAnsi="Calibri" w:cs="Calibri"/>
              </w:rPr>
            </w:pPr>
            <w:r>
              <w:rPr>
                <w:rFonts w:ascii="Calibri" w:hAnsi="Calibri" w:cs="Calibri"/>
              </w:rPr>
              <w:t>Area of Interest 1:  Methane Emissions Reduction from Existing Wells and Infrastructure</w:t>
            </w:r>
            <w:r>
              <w:rPr>
                <w:rFonts w:ascii="Calibri" w:hAnsi="Calibri" w:cs="Calibri"/>
              </w:rPr>
              <w:br/>
              <w:t>Area of Interest 2:  Accelerating Deployment of Methane Emissions Reduction Solutions</w:t>
            </w:r>
            <w:r>
              <w:rPr>
                <w:rFonts w:ascii="Calibri" w:hAnsi="Calibri" w:cs="Calibri"/>
              </w:rPr>
              <w:br/>
              <w:t xml:space="preserve">Area of Interest 3:  Accelerating Deployment of Methane Monitoring Solutions </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02AA5B5B"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24D34F25" w:rsidR="002F0752" w:rsidRPr="00CF2E7C" w:rsidRDefault="00194CE6"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61CFEF95"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62241344"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lastRenderedPageBreak/>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2188A532" w:rsidR="002F0752" w:rsidRPr="00CF2E7C" w:rsidRDefault="005C6B18" w:rsidP="00CF2E7C">
            <w:pPr>
              <w:rPr>
                <w:rFonts w:ascii="Calibri" w:hAnsi="Calibri" w:cs="Calibri"/>
              </w:rPr>
            </w:pPr>
            <w:r>
              <w:rPr>
                <w:rFonts w:ascii="Calibri" w:hAnsi="Calibri" w:cs="Calibri"/>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194A499B"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5D040BF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6B78A9C2" w:rsidR="002F0752" w:rsidRPr="00CF2E7C" w:rsidRDefault="0000344A"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3379A338" w:rsidR="002F0752" w:rsidRPr="00CF2E7C" w:rsidRDefault="001C5009" w:rsidP="001C5009">
            <w:pPr>
              <w:rPr>
                <w:rFonts w:ascii="Calibri" w:hAnsi="Calibri" w:cs="Calibri"/>
              </w:rPr>
            </w:pPr>
            <w:r w:rsidRPr="001C5009">
              <w:rPr>
                <w:rFonts w:ascii="Calibri" w:hAnsi="Calibri" w:cs="Calibri"/>
              </w:rPr>
              <w:t>$850 million has been announced for 43 projects to help small oil and gas operators, Tribes, and other entities reduce, monitor, and quantify methane emissions.</w:t>
            </w:r>
            <w:r>
              <w:rPr>
                <w:rFonts w:ascii="Calibri" w:hAnsi="Calibri" w:cs="Calibri"/>
              </w:rPr>
              <w:t xml:space="preserve"> </w:t>
            </w:r>
            <w:r w:rsidRPr="001C5009">
              <w:rPr>
                <w:rFonts w:ascii="Calibri" w:hAnsi="Calibri" w:cs="Calibri"/>
              </w:rPr>
              <w:t>$350 million in formula funding has been awarded to 14 states to support voluntary, permanent well plugging for low-producing conventional wells</w:t>
            </w:r>
            <w:r>
              <w:rPr>
                <w:rFonts w:ascii="Calibri" w:hAnsi="Calibri" w:cs="Calibri"/>
              </w:rPr>
              <w:t xml:space="preserve">. </w:t>
            </w:r>
            <w:r w:rsidRPr="001C5009">
              <w:rPr>
                <w:rFonts w:ascii="Calibri" w:hAnsi="Calibri" w:cs="Calibri"/>
              </w:rPr>
              <w:t>The EPA and DOE are providing technical assistance to states, industry, and other partners to implement cost-effective methane reduction solutions.</w:t>
            </w:r>
            <w:r>
              <w:rPr>
                <w:rFonts w:ascii="Calibri" w:hAnsi="Calibri" w:cs="Calibri"/>
              </w:rPr>
              <w:t xml:space="preserve"> </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908C641"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CBF2AF5" w:rsidR="002F0752" w:rsidRPr="00DC3551" w:rsidRDefault="002F0752" w:rsidP="00B154ED">
            <w:pPr>
              <w:rPr>
                <w:rFonts w:ascii="Calibri" w:hAnsi="Calibri" w:cs="Calibri"/>
                <w:lang w:val="en-US"/>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1F2DB952"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lastRenderedPageBreak/>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lastRenderedPageBreak/>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018F581B" w:rsidR="002F0752" w:rsidRPr="00CF2E7C" w:rsidRDefault="00784B00"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2859F4C"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28C262B4"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5FB57291" w:rsidR="002F0752" w:rsidRPr="00CF2E7C" w:rsidRDefault="004B0412"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2E14DFE2"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09F463E0"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lastRenderedPageBreak/>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lastRenderedPageBreak/>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4990A442" w:rsidR="002F0752" w:rsidRPr="00CF2E7C" w:rsidRDefault="00BE77E1"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FF6B426"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3793B8C2"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5AAF0DCB" w:rsidR="002F0752" w:rsidRPr="00CF2E7C" w:rsidRDefault="00C33682"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6857A14C" w:rsidR="002F0752" w:rsidRPr="00CF2E7C" w:rsidRDefault="0083532F"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04D3DB1F" w:rsidR="002F0752" w:rsidRPr="00CF2E7C" w:rsidRDefault="0083532F"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4E89E710" w:rsidR="002F0752" w:rsidRPr="00CF2E7C" w:rsidRDefault="0083532F"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1B723080" w:rsidR="002F0752" w:rsidRPr="00CF2E7C" w:rsidRDefault="0083532F"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4AC721C9"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AA0852E" w:rsidR="002F0752" w:rsidRPr="33822AF7" w:rsidRDefault="0083532F"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bookmarkStart w:id="58" w:name="_Hlk201775147"/>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bookmarkEnd w:id="58"/>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3C86600C"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55E01BE3" w:rsidR="002F0752" w:rsidRPr="00CF2E7C" w:rsidRDefault="0083532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2735875B"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2FDDAD28" w:rsidR="002F0752" w:rsidRPr="00CF2E7C" w:rsidRDefault="007D4883" w:rsidP="00CF2E7C">
            <w:pPr>
              <w:rPr>
                <w:rFonts w:ascii="Calibri" w:eastAsia="Calibri" w:hAnsi="Calibri" w:cs="Calibri"/>
                <w:color w:val="000000" w:themeColor="text1"/>
              </w:rPr>
            </w:pPr>
            <w:r>
              <w:rPr>
                <w:rFonts w:ascii="Calibri" w:eastAsia="Calibri" w:hAnsi="Calibri" w:cs="Calibri"/>
                <w:color w:val="000000" w:themeColor="text1"/>
              </w:rPr>
              <w:t>According</w:t>
            </w:r>
            <w:r w:rsidR="00743020">
              <w:rPr>
                <w:rFonts w:ascii="Calibri" w:eastAsia="Calibri" w:hAnsi="Calibri" w:cs="Calibri"/>
                <w:color w:val="000000" w:themeColor="text1"/>
              </w:rPr>
              <w:t xml:space="preserve"> to guidance from the Department of Energy and the National Energy Technology Laboratory (“NETL”), g</w:t>
            </w:r>
            <w:r w:rsidR="00257594">
              <w:rPr>
                <w:rFonts w:ascii="Calibri" w:eastAsia="Calibri" w:hAnsi="Calibri" w:cs="Calibri"/>
                <w:color w:val="000000" w:themeColor="text1"/>
              </w:rPr>
              <w:t>rantees are require</w:t>
            </w:r>
            <w:r w:rsidR="007E5A57">
              <w:rPr>
                <w:rFonts w:ascii="Calibri" w:eastAsia="Calibri" w:hAnsi="Calibri" w:cs="Calibri"/>
                <w:color w:val="000000" w:themeColor="text1"/>
              </w:rPr>
              <w:t>d</w:t>
            </w:r>
            <w:r w:rsidR="00257594">
              <w:rPr>
                <w:rFonts w:ascii="Calibri" w:eastAsia="Calibri" w:hAnsi="Calibri" w:cs="Calibri"/>
                <w:color w:val="000000" w:themeColor="text1"/>
              </w:rPr>
              <w:t xml:space="preserve"> to measure methane emission rate</w:t>
            </w:r>
            <w:r w:rsidR="007E5A57">
              <w:rPr>
                <w:rFonts w:ascii="Calibri" w:eastAsia="Calibri" w:hAnsi="Calibri" w:cs="Calibri"/>
                <w:color w:val="000000" w:themeColor="text1"/>
              </w:rPr>
              <w:t>s</w:t>
            </w:r>
            <w:r w:rsidR="00257594">
              <w:rPr>
                <w:rFonts w:ascii="Calibri" w:eastAsia="Calibri" w:hAnsi="Calibri" w:cs="Calibri"/>
                <w:color w:val="000000" w:themeColor="text1"/>
              </w:rPr>
              <w:t xml:space="preserve"> prior to and following the plugging </w:t>
            </w:r>
            <w:r w:rsidR="003C6118">
              <w:rPr>
                <w:rFonts w:ascii="Calibri" w:eastAsia="Calibri" w:hAnsi="Calibri" w:cs="Calibri"/>
                <w:color w:val="000000" w:themeColor="text1"/>
              </w:rPr>
              <w:t xml:space="preserve">and abandonment of any MCW using applicable approaches described in these guidelines. Grantees must comply with all applicable state or Federal plugging and abandonment requirements.  </w:t>
            </w:r>
            <w:r w:rsidR="00181A89">
              <w:rPr>
                <w:rFonts w:ascii="Calibri" w:eastAsia="Calibri" w:hAnsi="Calibri" w:cs="Calibri"/>
                <w:color w:val="000000" w:themeColor="text1"/>
              </w:rPr>
              <w:t xml:space="preserve">  </w:t>
            </w:r>
            <w:r w:rsidR="00554F62">
              <w:rPr>
                <w:rFonts w:ascii="Calibri" w:eastAsia="Calibri" w:hAnsi="Calibri" w:cs="Calibri"/>
                <w:color w:val="000000" w:themeColor="text1"/>
              </w:rPr>
              <w:br/>
              <w:t>Grantees are not require</w:t>
            </w:r>
            <w:r>
              <w:rPr>
                <w:rFonts w:ascii="Calibri" w:eastAsia="Calibri" w:hAnsi="Calibri" w:cs="Calibri"/>
                <w:color w:val="000000" w:themeColor="text1"/>
              </w:rPr>
              <w:t>d</w:t>
            </w:r>
            <w:r w:rsidR="00554F62">
              <w:rPr>
                <w:rFonts w:ascii="Calibri" w:eastAsia="Calibri" w:hAnsi="Calibri" w:cs="Calibri"/>
                <w:color w:val="000000" w:themeColor="text1"/>
              </w:rPr>
              <w:t xml:space="preserve"> to use methane emissions measurement</w:t>
            </w:r>
            <w:r w:rsidR="00CC0E3F">
              <w:rPr>
                <w:rFonts w:ascii="Calibri" w:eastAsia="Calibri" w:hAnsi="Calibri" w:cs="Calibri"/>
                <w:color w:val="000000" w:themeColor="text1"/>
              </w:rPr>
              <w:t xml:space="preserve"> approaches in this document for the purpose of screening MCWs to inform plugging prioritization. In such instances, screening approaches recommended by NETL are provided as options for grantees to consider when assessing and prioritizing wells for plugging. </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07F35078" w:rsidR="002F0752" w:rsidRPr="00CF2E7C" w:rsidRDefault="005916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1C62AD8A" w:rsidR="002F0752" w:rsidRPr="00CF2E7C" w:rsidRDefault="005916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492B5DBB"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r w:rsidR="005916F5">
              <w:rPr>
                <w:rFonts w:ascii="Calibri" w:eastAsia="Calibri" w:hAnsi="Calibri" w:cs="Calibri"/>
                <w:b/>
                <w:bCs/>
                <w:color w:val="7030A0"/>
              </w:rPr>
              <w:t xml:space="preserve"> </w:t>
            </w:r>
          </w:p>
        </w:tc>
        <w:tc>
          <w:tcPr>
            <w:tcW w:w="1579" w:type="dxa"/>
            <w:gridSpan w:val="2"/>
            <w:shd w:val="clear" w:color="auto" w:fill="auto"/>
            <w:vAlign w:val="center"/>
          </w:tcPr>
          <w:p w14:paraId="13EDCAF0" w14:textId="07597724" w:rsidR="002F0752" w:rsidRPr="00CF2E7C" w:rsidRDefault="00E32C0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248F06AC" w14:textId="08AB1E34"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3425E4DA"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10A8457A" w:rsidR="002F0752" w:rsidRPr="00CF2E7C" w:rsidRDefault="005916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140DAE0D" w:rsidR="002F0752" w:rsidRPr="00CF2E7C" w:rsidRDefault="005916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6BDAE88F" w:rsidR="002F0752" w:rsidRPr="00CF2E7C" w:rsidRDefault="005916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0296A591"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FCF2EB7" w:rsidR="002F0752" w:rsidRPr="00CF2E7C" w:rsidRDefault="00576EA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614D1958"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43A48949" w:rsidR="002F0752" w:rsidRPr="00CF2E7C" w:rsidRDefault="00576EA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25782AF4"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0EC6EB80" w:rsidR="002F0752" w:rsidRPr="00CF2E7C" w:rsidRDefault="00576EA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589B9375" w:rsidR="002F0752" w:rsidRPr="00CF2E7C" w:rsidRDefault="00524C1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48E50D1" w14:textId="1AD840C9"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5DBCE23E"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4B2EE0BD" w:rsidR="002F0752" w:rsidRPr="00CF2E7C" w:rsidRDefault="00576EA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6D6EF5F4"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0FE58291" w:rsidR="002F0752" w:rsidRPr="00CF2E7C" w:rsidRDefault="00576EA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4AD7763C"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14A2BEA1" w:rsidR="002F0752" w:rsidRPr="00CF2E7C" w:rsidRDefault="00F5185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6DE05A72" w:rsidR="002F0752" w:rsidRPr="00CF2E7C" w:rsidRDefault="00057A9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shd w:val="clear" w:color="auto" w:fill="auto"/>
            <w:vAlign w:val="center"/>
          </w:tcPr>
          <w:p w14:paraId="292C2CC9" w14:textId="274314AE"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2A0117AF"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1E811A2D" w:rsidR="002F0752" w:rsidRPr="00CF2E7C" w:rsidRDefault="004C12B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shd w:val="clear" w:color="auto" w:fill="auto"/>
            <w:vAlign w:val="center"/>
          </w:tcPr>
          <w:p w14:paraId="2B4929FC" w14:textId="37F95F3C"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15DE35A5"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1466FC50" w:rsidR="002F0752" w:rsidRPr="00CF2E7C" w:rsidRDefault="00C377D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shd w:val="clear" w:color="auto" w:fill="auto"/>
            <w:vAlign w:val="center"/>
          </w:tcPr>
          <w:p w14:paraId="6C3F4959" w14:textId="383D5E30"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6AC16B4D"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1DF1DBA3" w:rsidR="002F0752" w:rsidRPr="00CF2E7C" w:rsidRDefault="007474B2"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shd w:val="clear" w:color="auto" w:fill="auto"/>
            <w:vAlign w:val="center"/>
          </w:tcPr>
          <w:p w14:paraId="2155635C" w14:textId="4F754F18"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B71EE5A"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16B160A6" w:rsidR="002F0752" w:rsidRPr="00CF2E7C" w:rsidRDefault="008B765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69090F4B"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032FB45F"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37E0A210" w:rsidR="002F0752" w:rsidRPr="00CF2E7C" w:rsidRDefault="008B765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1552933D"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1D7DFCA0"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bookmarkStart w:id="59" w:name="_Hlk201775170"/>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696"/>
        <w:gridCol w:w="4329"/>
        <w:gridCol w:w="331"/>
        <w:gridCol w:w="534"/>
        <w:gridCol w:w="1180"/>
        <w:gridCol w:w="1659"/>
        <w:gridCol w:w="1732"/>
      </w:tblGrid>
      <w:tr w:rsidR="00DE11DA" w:rsidRPr="00CF2E7C" w14:paraId="3B2E1123" w14:textId="77777777" w:rsidTr="00CF2E7C">
        <w:trPr>
          <w:trHeight w:val="300"/>
        </w:trPr>
        <w:tc>
          <w:tcPr>
            <w:tcW w:w="1066" w:type="dxa"/>
            <w:vAlign w:val="center"/>
          </w:tcPr>
          <w:bookmarkEnd w:id="59"/>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4BF11E02"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1FE6E380" w:rsidR="002F0752" w:rsidRPr="00CF2E7C" w:rsidRDefault="001464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6B9639B2"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41D15444" w:rsidR="00E85CA5" w:rsidRPr="00CF2E7C" w:rsidRDefault="00E85CA5"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38E1E2BD"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6437BACA"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575ADD3C" w:rsidR="002F0752" w:rsidRPr="00CF2E7C" w:rsidRDefault="00672F5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36CC2785"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33D7D601" w:rsidR="002F0752" w:rsidRPr="00CF2E7C" w:rsidRDefault="00672F5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106855AD" w:rsidR="002F0752" w:rsidRPr="00CF2E7C" w:rsidRDefault="00672F5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262124EF"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672F54" w:rsidRDefault="002F0752" w:rsidP="00CF2E7C">
            <w:pPr>
              <w:rPr>
                <w:rFonts w:ascii="Calibri" w:eastAsia="Calibri" w:hAnsi="Calibri" w:cs="Calibri"/>
                <w:color w:val="000000" w:themeColor="text1"/>
              </w:rPr>
            </w:pPr>
          </w:p>
        </w:tc>
        <w:tc>
          <w:tcPr>
            <w:tcW w:w="1631" w:type="dxa"/>
            <w:vAlign w:val="center"/>
          </w:tcPr>
          <w:p w14:paraId="535FCCD8" w14:textId="4113F960" w:rsidR="002F0752" w:rsidRPr="00672F54" w:rsidRDefault="002F0752" w:rsidP="00CF2E7C">
            <w:pPr>
              <w:rPr>
                <w:rFonts w:ascii="Calibri" w:eastAsia="Calibri" w:hAnsi="Calibri" w:cs="Calibri"/>
                <w:color w:val="000000" w:themeColor="text1"/>
              </w:rPr>
            </w:pPr>
          </w:p>
        </w:tc>
        <w:tc>
          <w:tcPr>
            <w:tcW w:w="1632" w:type="dxa"/>
            <w:vAlign w:val="center"/>
          </w:tcPr>
          <w:p w14:paraId="1D424DDE" w14:textId="19CC6B57" w:rsidR="002F0752" w:rsidRPr="00672F54" w:rsidRDefault="00B74F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29386FD1" w:rsidR="002F0752" w:rsidRPr="00672F54" w:rsidRDefault="00107B3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1" w:type="dxa"/>
            <w:vAlign w:val="center"/>
          </w:tcPr>
          <w:p w14:paraId="34058C30" w14:textId="4FF387A7" w:rsidR="002F0752" w:rsidRPr="00672F54" w:rsidRDefault="002F0752" w:rsidP="00CF2E7C">
            <w:pPr>
              <w:rPr>
                <w:rFonts w:ascii="Calibri" w:eastAsia="Calibri" w:hAnsi="Calibri" w:cs="Calibri"/>
                <w:color w:val="000000" w:themeColor="text1"/>
              </w:rPr>
            </w:pPr>
          </w:p>
        </w:tc>
        <w:tc>
          <w:tcPr>
            <w:tcW w:w="1632" w:type="dxa"/>
            <w:vAlign w:val="center"/>
          </w:tcPr>
          <w:p w14:paraId="53DFE6AD" w14:textId="68446532" w:rsidR="002F0752" w:rsidRPr="00672F54" w:rsidRDefault="002F0752" w:rsidP="00CF2E7C">
            <w:pPr>
              <w:rPr>
                <w:rFonts w:ascii="Calibri" w:eastAsia="Calibri" w:hAnsi="Calibri" w:cs="Calibri"/>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68D9D661" w:rsidR="002F0752" w:rsidRPr="00672F54" w:rsidRDefault="00107B3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1" w:type="dxa"/>
            <w:vAlign w:val="center"/>
          </w:tcPr>
          <w:p w14:paraId="678D1E7B" w14:textId="598B188E" w:rsidR="002F0752" w:rsidRPr="00672F54" w:rsidRDefault="002F0752" w:rsidP="00CF2E7C">
            <w:pPr>
              <w:rPr>
                <w:rFonts w:ascii="Calibri" w:eastAsia="Calibri" w:hAnsi="Calibri" w:cs="Calibri"/>
                <w:color w:val="000000" w:themeColor="text1"/>
              </w:rPr>
            </w:pPr>
          </w:p>
        </w:tc>
        <w:tc>
          <w:tcPr>
            <w:tcW w:w="1632" w:type="dxa"/>
            <w:vAlign w:val="center"/>
          </w:tcPr>
          <w:p w14:paraId="2BD74CF2" w14:textId="5AA65839" w:rsidR="002F0752" w:rsidRPr="00672F54" w:rsidRDefault="002F0752" w:rsidP="00CF2E7C">
            <w:pPr>
              <w:rPr>
                <w:rFonts w:ascii="Calibri" w:eastAsia="Calibri" w:hAnsi="Calibri" w:cs="Calibri"/>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672F54" w:rsidRDefault="002F0752" w:rsidP="00CF2E7C">
            <w:pPr>
              <w:rPr>
                <w:rFonts w:ascii="Calibri" w:eastAsia="Calibri" w:hAnsi="Calibri" w:cs="Calibri"/>
                <w:color w:val="000000" w:themeColor="text1"/>
              </w:rPr>
            </w:pPr>
          </w:p>
        </w:tc>
        <w:tc>
          <w:tcPr>
            <w:tcW w:w="1631" w:type="dxa"/>
            <w:vAlign w:val="center"/>
          </w:tcPr>
          <w:p w14:paraId="5F44F4F7" w14:textId="77777777" w:rsidR="002F0752" w:rsidRPr="00672F54" w:rsidRDefault="002F0752" w:rsidP="00CF2E7C">
            <w:pPr>
              <w:rPr>
                <w:rFonts w:ascii="Calibri" w:eastAsia="Calibri" w:hAnsi="Calibri" w:cs="Calibri"/>
                <w:color w:val="000000" w:themeColor="text1"/>
              </w:rPr>
            </w:pPr>
          </w:p>
        </w:tc>
        <w:tc>
          <w:tcPr>
            <w:tcW w:w="1632" w:type="dxa"/>
            <w:vAlign w:val="center"/>
          </w:tcPr>
          <w:p w14:paraId="7376823E" w14:textId="167E1268" w:rsidR="002F0752" w:rsidRPr="00672F54" w:rsidRDefault="00672F54" w:rsidP="00CF2E7C">
            <w:pPr>
              <w:rPr>
                <w:rFonts w:ascii="Calibri" w:eastAsia="Calibri" w:hAnsi="Calibri" w:cs="Calibri"/>
                <w:color w:val="000000" w:themeColor="text1"/>
              </w:rPr>
            </w:pPr>
            <w:r w:rsidRPr="00672F54">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672F54" w:rsidRDefault="002F0752" w:rsidP="00CF2E7C">
            <w:pPr>
              <w:rPr>
                <w:rFonts w:ascii="Calibri" w:eastAsia="Calibri" w:hAnsi="Calibri" w:cs="Calibri"/>
                <w:color w:val="000000" w:themeColor="text1"/>
              </w:rPr>
            </w:pPr>
          </w:p>
        </w:tc>
        <w:tc>
          <w:tcPr>
            <w:tcW w:w="1631" w:type="dxa"/>
            <w:vAlign w:val="center"/>
          </w:tcPr>
          <w:p w14:paraId="7B59CB9A" w14:textId="77777777" w:rsidR="002F0752" w:rsidRPr="00672F54" w:rsidRDefault="002F0752" w:rsidP="00CF2E7C">
            <w:pPr>
              <w:rPr>
                <w:rFonts w:ascii="Calibri" w:eastAsia="Calibri" w:hAnsi="Calibri" w:cs="Calibri"/>
                <w:color w:val="000000" w:themeColor="text1"/>
              </w:rPr>
            </w:pPr>
          </w:p>
        </w:tc>
        <w:tc>
          <w:tcPr>
            <w:tcW w:w="1632" w:type="dxa"/>
            <w:vAlign w:val="center"/>
          </w:tcPr>
          <w:p w14:paraId="3EE4C822" w14:textId="3DFA043F" w:rsidR="002F0752" w:rsidRPr="00672F54" w:rsidRDefault="00672F5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672F54" w:rsidRDefault="002F0752" w:rsidP="00CF2E7C">
            <w:pPr>
              <w:rPr>
                <w:rFonts w:ascii="Calibri" w:eastAsia="Calibri" w:hAnsi="Calibri" w:cs="Calibri"/>
                <w:color w:val="000000" w:themeColor="text1"/>
              </w:rPr>
            </w:pPr>
          </w:p>
        </w:tc>
        <w:tc>
          <w:tcPr>
            <w:tcW w:w="1631" w:type="dxa"/>
            <w:vAlign w:val="center"/>
          </w:tcPr>
          <w:p w14:paraId="395EEBF0" w14:textId="1919F003" w:rsidR="002F0752" w:rsidRPr="00672F54" w:rsidRDefault="002F0752" w:rsidP="00CF2E7C">
            <w:pPr>
              <w:rPr>
                <w:rFonts w:ascii="Calibri" w:eastAsia="Calibri" w:hAnsi="Calibri" w:cs="Calibri"/>
                <w:color w:val="000000" w:themeColor="text1"/>
              </w:rPr>
            </w:pPr>
          </w:p>
        </w:tc>
        <w:tc>
          <w:tcPr>
            <w:tcW w:w="1632" w:type="dxa"/>
            <w:vAlign w:val="center"/>
          </w:tcPr>
          <w:p w14:paraId="098E3041" w14:textId="7BB4ACBA" w:rsidR="002F0752" w:rsidRPr="00672F54" w:rsidRDefault="00B74F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w:t>
            </w:r>
            <w:r w:rsidRPr="00CF2E7C">
              <w:rPr>
                <w:rFonts w:ascii="Calibri" w:eastAsia="Calibri" w:hAnsi="Calibri" w:cs="Calibri"/>
                <w:color w:val="000000" w:themeColor="text1"/>
              </w:rPr>
              <w:lastRenderedPageBreak/>
              <w:t xml:space="preserve">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3CED0867" w:rsidR="002F0752" w:rsidRPr="00672F54" w:rsidRDefault="001876B8" w:rsidP="00CF2E7C">
            <w:pPr>
              <w:rPr>
                <w:rFonts w:ascii="Calibri" w:eastAsia="Calibri" w:hAnsi="Calibri" w:cs="Calibri"/>
                <w:color w:val="000000" w:themeColor="text1"/>
              </w:rPr>
            </w:pPr>
            <w:r>
              <w:rPr>
                <w:rFonts w:ascii="Calibri" w:eastAsia="Calibri" w:hAnsi="Calibri" w:cs="Calibri"/>
                <w:color w:val="000000" w:themeColor="text1"/>
              </w:rPr>
              <w:lastRenderedPageBreak/>
              <w:t>X</w:t>
            </w:r>
          </w:p>
        </w:tc>
        <w:tc>
          <w:tcPr>
            <w:tcW w:w="1631" w:type="dxa"/>
            <w:vAlign w:val="center"/>
          </w:tcPr>
          <w:p w14:paraId="66385834" w14:textId="6657B755" w:rsidR="002F0752" w:rsidRPr="00672F54" w:rsidRDefault="002F0752" w:rsidP="00CF2E7C">
            <w:pPr>
              <w:rPr>
                <w:rFonts w:ascii="Calibri" w:eastAsia="Calibri" w:hAnsi="Calibri" w:cs="Calibri"/>
                <w:color w:val="000000" w:themeColor="text1"/>
              </w:rPr>
            </w:pPr>
          </w:p>
        </w:tc>
        <w:tc>
          <w:tcPr>
            <w:tcW w:w="1632" w:type="dxa"/>
            <w:vAlign w:val="center"/>
          </w:tcPr>
          <w:p w14:paraId="1A9CA965" w14:textId="238DF842" w:rsidR="002F0752" w:rsidRPr="00672F54" w:rsidRDefault="002F0752" w:rsidP="00CF2E7C">
            <w:pPr>
              <w:rPr>
                <w:rFonts w:ascii="Calibri" w:eastAsia="Calibri" w:hAnsi="Calibri" w:cs="Calibri"/>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31A17A42" w:rsidR="002F0752" w:rsidRPr="00672F54" w:rsidRDefault="00A6799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1" w:type="dxa"/>
            <w:vAlign w:val="center"/>
          </w:tcPr>
          <w:p w14:paraId="510E8D50" w14:textId="216E7987" w:rsidR="002F0752" w:rsidRPr="00672F54" w:rsidRDefault="002F0752" w:rsidP="00CF2E7C">
            <w:pPr>
              <w:rPr>
                <w:rFonts w:ascii="Calibri" w:eastAsia="Calibri" w:hAnsi="Calibri" w:cs="Calibri"/>
                <w:color w:val="000000" w:themeColor="text1"/>
              </w:rPr>
            </w:pPr>
          </w:p>
        </w:tc>
        <w:tc>
          <w:tcPr>
            <w:tcW w:w="1632" w:type="dxa"/>
            <w:vAlign w:val="center"/>
          </w:tcPr>
          <w:p w14:paraId="3650209D" w14:textId="4F599DAC" w:rsidR="002F0752" w:rsidRPr="00672F54" w:rsidRDefault="002F0752" w:rsidP="00CF2E7C">
            <w:pPr>
              <w:rPr>
                <w:rFonts w:ascii="Calibri" w:eastAsia="Calibri" w:hAnsi="Calibri" w:cs="Calibri"/>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B7FC94B" w14:textId="1B670165" w:rsidR="00485CF5" w:rsidRPr="003E7A73" w:rsidRDefault="007900AF" w:rsidP="00173562">
            <w:r>
              <w:rPr>
                <w:rFonts w:ascii="Calibri" w:eastAsia="Calibri" w:hAnsi="Calibri" w:cs="Calibri"/>
                <w:color w:val="000000" w:themeColor="text1"/>
              </w:rPr>
              <w:t>MERP</w:t>
            </w:r>
            <w:r w:rsidRPr="00A46810">
              <w:rPr>
                <w:rFonts w:ascii="Calibri" w:eastAsia="Calibri" w:hAnsi="Calibri" w:cs="Calibri"/>
                <w:color w:val="000000" w:themeColor="text1"/>
              </w:rPr>
              <w:t xml:space="preserve"> </w:t>
            </w:r>
            <w:r w:rsidR="00485CF5" w:rsidRPr="003E7A73">
              <w:t>FOA-3256 and FOA-3109 projects include quantification of methane emissions from venting and flaring as part of their monitoring and reporting requirements. DOE’s technical assistance and project oversight include site-level inspections and compliance monitoring to ensure proper implementation of methane mitigation technologies. Specific equipment, technology, and operating procedures are referenced in DOE-funded projects under FOA-3256, including low-bleed pneumatic controllers, advanced dehydrators, and methane slip reduction systems for compressors—these are tied to performance-based standards for methane reduction.</w:t>
            </w:r>
          </w:p>
          <w:p w14:paraId="02A2DC13" w14:textId="77777777" w:rsidR="00485CF5" w:rsidRDefault="00485CF5" w:rsidP="00485CF5">
            <w:hyperlink r:id="rId22" w:history="1">
              <w:r w:rsidRPr="00FC5ADF">
                <w:rPr>
                  <w:rStyle w:val="Hyperlink"/>
                </w:rPr>
                <w:t>https://catalog.energy.gov/wp-content/uploads/2024/10/MMT-IOGCC-Oct-2024.pdf</w:t>
              </w:r>
            </w:hyperlink>
            <w:r>
              <w:t xml:space="preserve"> </w:t>
            </w:r>
          </w:p>
          <w:p w14:paraId="5B9827C9" w14:textId="17501DF9" w:rsidR="00485CF5" w:rsidRDefault="00485CF5" w:rsidP="00173562">
            <w:pPr>
              <w:rPr>
                <w:color w:val="FF0000"/>
              </w:rPr>
            </w:pPr>
            <w:hyperlink r:id="rId23" w:history="1">
              <w:r w:rsidRPr="00485CF5">
                <w:rPr>
                  <w:rStyle w:val="Hyperlink"/>
                </w:rPr>
                <w:t>Project Selections for FOA 3256: Methane Emissions Reduction Program Oil and Gas Methane Monitoring and Mitigation | Department of Energy</w:t>
              </w:r>
            </w:hyperlink>
          </w:p>
          <w:p w14:paraId="1C146D7E" w14:textId="1D74236D" w:rsidR="003462E7" w:rsidRDefault="0091587E" w:rsidP="00173562">
            <w:r>
              <w:t xml:space="preserve">The policy tool recommends guidelines and technologies for marginal convention well operators to adopt to measure and track emissions.  </w:t>
            </w:r>
            <w:r w:rsidR="00A95178">
              <w:t xml:space="preserve">The methane measurement guidelines list several “approaches … appropriate for leaks and vented emissions </w:t>
            </w:r>
            <w:proofErr w:type="gramStart"/>
            <w:r w:rsidR="00A95178">
              <w:t>sources[</w:t>
            </w:r>
            <w:proofErr w:type="gramEnd"/>
            <w:r w:rsidR="00A95178">
              <w:t xml:space="preserve">,]” </w:t>
            </w:r>
            <w:proofErr w:type="gramStart"/>
            <w:r w:rsidR="00A95178">
              <w:t>including:</w:t>
            </w:r>
            <w:proofErr w:type="gramEnd"/>
            <w:r w:rsidR="00A95178">
              <w:t xml:space="preserve">  methane concentration </w:t>
            </w:r>
            <w:r w:rsidR="003462E7">
              <w:t xml:space="preserve">instrumentation; optical gas imaging instrumentation; and column-integrated methane concentration instrumentation. </w:t>
            </w:r>
          </w:p>
          <w:p w14:paraId="14A6A840" w14:textId="3CDF3C72" w:rsidR="002F0752" w:rsidRPr="00173562" w:rsidRDefault="00E427AC" w:rsidP="00173562">
            <w:hyperlink r:id="rId24" w:history="1">
              <w:r w:rsidRPr="00FC5ADF">
                <w:rPr>
                  <w:rStyle w:val="Hyperlink"/>
                </w:rPr>
                <w:t>https://netl.doe.gov/sites/default/files/2024-06/DOE-NETL%20Methane%20Measurement%20Guidelines%20for%20Marginal%20Conventional%20Wells%20April%202024.pdf</w:t>
              </w:r>
            </w:hyperlink>
            <w:r>
              <w:t xml:space="preserve"> </w:t>
            </w:r>
          </w:p>
        </w:tc>
      </w:tr>
    </w:tbl>
    <w:p w14:paraId="044B5E7D" w14:textId="77777777" w:rsidR="002F0752" w:rsidRDefault="002F0752" w:rsidP="002F0752"/>
    <w:p w14:paraId="5A749DF3" w14:textId="77777777" w:rsidR="002F0752" w:rsidRDefault="002F0752" w:rsidP="002F0752">
      <w:pPr>
        <w:pStyle w:val="Heading4"/>
      </w:pPr>
      <w:bookmarkStart w:id="60" w:name="_Hlk201775654"/>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701"/>
        <w:gridCol w:w="3889"/>
        <w:gridCol w:w="2141"/>
        <w:gridCol w:w="1826"/>
        <w:gridCol w:w="1904"/>
      </w:tblGrid>
      <w:tr w:rsidR="002F0752" w:rsidRPr="00CF2E7C" w14:paraId="18F06492" w14:textId="77777777" w:rsidTr="00CF2E7C">
        <w:tc>
          <w:tcPr>
            <w:tcW w:w="1066" w:type="dxa"/>
            <w:vAlign w:val="center"/>
          </w:tcPr>
          <w:bookmarkEnd w:id="60"/>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2DAC99E6" w:rsidR="002F0752" w:rsidRPr="00CF2E7C" w:rsidRDefault="004C02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5630D6FA"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376B3E29" w:rsidR="002F0752" w:rsidRPr="00CF2E7C" w:rsidRDefault="00B74F2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6E44EAF8" w:rsidR="002F0752" w:rsidRPr="00CF2E7C" w:rsidRDefault="004C02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64F72181" w:rsidR="002F0752" w:rsidRPr="00CF2E7C" w:rsidRDefault="004C020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17A0340C" w:rsidR="002F0752" w:rsidRPr="00CF2E7C" w:rsidRDefault="005346D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57908D2E" w14:textId="5D2C348F"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23F64556"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5F9F8F79" w:rsidR="002F0752" w:rsidRPr="00CF2E7C" w:rsidRDefault="005346D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2EDE9D0C" w14:textId="6B7B2232"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4285C6F4"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E60A023" w14:textId="2E7C7E22" w:rsidR="00A46810" w:rsidRPr="00A46810" w:rsidRDefault="00A46810" w:rsidP="00A46810">
            <w:pPr>
              <w:rPr>
                <w:rFonts w:ascii="Calibri" w:eastAsia="Calibri" w:hAnsi="Calibri" w:cs="Calibri"/>
                <w:color w:val="000000" w:themeColor="text1"/>
              </w:rPr>
            </w:pPr>
            <w:r w:rsidRPr="00A46810">
              <w:rPr>
                <w:rFonts w:ascii="Calibri" w:eastAsia="Calibri" w:hAnsi="Calibri" w:cs="Calibri"/>
                <w:color w:val="000000" w:themeColor="text1"/>
              </w:rPr>
              <w:t xml:space="preserve">As part of the </w:t>
            </w:r>
            <w:r>
              <w:rPr>
                <w:rFonts w:ascii="Calibri" w:eastAsia="Calibri" w:hAnsi="Calibri" w:cs="Calibri"/>
                <w:color w:val="000000" w:themeColor="text1"/>
              </w:rPr>
              <w:t>MERP</w:t>
            </w:r>
            <w:r w:rsidRPr="00A46810">
              <w:rPr>
                <w:rFonts w:ascii="Calibri" w:eastAsia="Calibri" w:hAnsi="Calibri" w:cs="Calibri"/>
                <w:color w:val="000000" w:themeColor="text1"/>
              </w:rPr>
              <w:t xml:space="preserve"> (FOA-3256), the DOE and EPA selected projects </w:t>
            </w:r>
            <w:r w:rsidR="007900AF">
              <w:rPr>
                <w:rFonts w:ascii="Calibri" w:eastAsia="Calibri" w:hAnsi="Calibri" w:cs="Calibri"/>
                <w:color w:val="000000" w:themeColor="text1"/>
              </w:rPr>
              <w:t xml:space="preserve">to receive grant funding </w:t>
            </w:r>
            <w:r w:rsidRPr="00A46810">
              <w:rPr>
                <w:rFonts w:ascii="Calibri" w:eastAsia="Calibri" w:hAnsi="Calibri" w:cs="Calibri"/>
                <w:color w:val="000000" w:themeColor="text1"/>
              </w:rPr>
              <w:t>that go beyond basic plugging activities by integrating emissions monitoring, technology deployment, and community engagement.</w:t>
            </w:r>
          </w:p>
          <w:p w14:paraId="3F201E52" w14:textId="2B16D6C0" w:rsidR="00A46810" w:rsidRPr="00A46810" w:rsidRDefault="00A46810" w:rsidP="00A46810">
            <w:pPr>
              <w:pStyle w:val="ListParagraph"/>
              <w:numPr>
                <w:ilvl w:val="0"/>
                <w:numId w:val="56"/>
              </w:numPr>
              <w:rPr>
                <w:rFonts w:ascii="Calibri" w:eastAsia="Calibri" w:hAnsi="Calibri" w:cs="Calibri"/>
                <w:color w:val="000000" w:themeColor="text1"/>
              </w:rPr>
            </w:pPr>
            <w:r w:rsidRPr="00A46810">
              <w:rPr>
                <w:rFonts w:ascii="Calibri" w:eastAsia="Calibri" w:hAnsi="Calibri" w:cs="Calibri"/>
                <w:color w:val="000000" w:themeColor="text1"/>
              </w:rPr>
              <w:t xml:space="preserve">Colorado State University’s project supports small operators of marginal conventional wells by offering funding for methane mitigation and prioritizing actions through on-site leak assessments and cost-effectiveness </w:t>
            </w:r>
            <w:r w:rsidR="007900AF" w:rsidRPr="00A46810">
              <w:rPr>
                <w:rFonts w:ascii="Calibri" w:eastAsia="Calibri" w:hAnsi="Calibri" w:cs="Calibri"/>
                <w:color w:val="000000" w:themeColor="text1"/>
              </w:rPr>
              <w:t>modelling</w:t>
            </w:r>
            <w:r w:rsidRPr="00A46810">
              <w:rPr>
                <w:rFonts w:ascii="Calibri" w:eastAsia="Calibri" w:hAnsi="Calibri" w:cs="Calibri"/>
                <w:color w:val="000000" w:themeColor="text1"/>
              </w:rPr>
              <w:t>. While not directly plugging wells, the project targets emissions from low-producing wells and builds local capacity through training and outreach.</w:t>
            </w:r>
          </w:p>
          <w:p w14:paraId="55E7A1E5" w14:textId="14DAE1B8" w:rsidR="00A46810" w:rsidRPr="00A46810" w:rsidRDefault="00A46810" w:rsidP="00A46810">
            <w:pPr>
              <w:pStyle w:val="ListParagraph"/>
              <w:numPr>
                <w:ilvl w:val="0"/>
                <w:numId w:val="56"/>
              </w:numPr>
              <w:rPr>
                <w:rFonts w:ascii="Calibri" w:eastAsia="Calibri" w:hAnsi="Calibri" w:cs="Calibri"/>
                <w:color w:val="000000" w:themeColor="text1"/>
              </w:rPr>
            </w:pPr>
            <w:r w:rsidRPr="00A46810">
              <w:rPr>
                <w:rFonts w:ascii="Calibri" w:eastAsia="Calibri" w:hAnsi="Calibri" w:cs="Calibri"/>
                <w:color w:val="000000" w:themeColor="text1"/>
              </w:rPr>
              <w:t>GTI Energy’s WELL Check program addresses emissions from inactive and under-managed wells by installing emissions reduction technologies and training small operators in leak detection and repair (LDAR) and measurement best practices. This includes identifying and mitigating leaks from wells that may not yet be formally abandoned but are no longer actively managed.</w:t>
            </w:r>
          </w:p>
          <w:p w14:paraId="03E6A509" w14:textId="77777777" w:rsidR="00A46810" w:rsidRDefault="00A46810" w:rsidP="00A46810">
            <w:pPr>
              <w:pStyle w:val="ListParagraph"/>
              <w:numPr>
                <w:ilvl w:val="0"/>
                <w:numId w:val="56"/>
              </w:numPr>
              <w:rPr>
                <w:rFonts w:ascii="Calibri" w:eastAsia="Calibri" w:hAnsi="Calibri" w:cs="Calibri"/>
                <w:color w:val="000000" w:themeColor="text1"/>
              </w:rPr>
            </w:pPr>
            <w:r w:rsidRPr="00A46810">
              <w:rPr>
                <w:rFonts w:ascii="Calibri" w:eastAsia="Calibri" w:hAnsi="Calibri" w:cs="Calibri"/>
                <w:color w:val="000000" w:themeColor="text1"/>
              </w:rPr>
              <w:t>The Tribal Energy Consortium’s initiative focuses on methane emissions from oil and gas assets on Tribal lands, including inactive wells. It uses advanced technologies—such as satellites, drones, and handheld sensors—to detect leaks and verify emissions reductions, while also building Tribal capacity for long-term monitoring and decision-making.</w:t>
            </w:r>
          </w:p>
          <w:p w14:paraId="75ABDF0F" w14:textId="656BA57F" w:rsidR="00A46810" w:rsidRPr="00A46810" w:rsidRDefault="00A46810" w:rsidP="00A46810">
            <w:pPr>
              <w:rPr>
                <w:rFonts w:ascii="Calibri" w:eastAsia="Calibri" w:hAnsi="Calibri" w:cs="Calibri"/>
                <w:color w:val="000000" w:themeColor="text1"/>
              </w:rPr>
            </w:pPr>
            <w:hyperlink r:id="rId25" w:history="1">
              <w:r w:rsidRPr="00A46810">
                <w:rPr>
                  <w:rStyle w:val="Hyperlink"/>
                  <w:rFonts w:ascii="Calibri" w:eastAsia="Calibri" w:hAnsi="Calibri" w:cs="Calibri"/>
                </w:rPr>
                <w:t>Project Selections for FOA 3256: Methane Emissions Reduction Program Oil and Gas Methane Monitoring and Mitigation | Department of Energy</w:t>
              </w:r>
            </w:hyperlink>
          </w:p>
          <w:p w14:paraId="65183E04" w14:textId="38216EFE" w:rsidR="00A46810" w:rsidRDefault="00A46810" w:rsidP="00A46810">
            <w:pPr>
              <w:pStyle w:val="ListParagraph"/>
              <w:numPr>
                <w:ilvl w:val="0"/>
                <w:numId w:val="55"/>
              </w:numPr>
              <w:rPr>
                <w:rFonts w:ascii="Calibri" w:eastAsia="Calibri" w:hAnsi="Calibri" w:cs="Calibri"/>
                <w:color w:val="000000" w:themeColor="text1"/>
              </w:rPr>
            </w:pPr>
            <w:r w:rsidRPr="00A46810">
              <w:rPr>
                <w:rFonts w:ascii="Calibri" w:eastAsia="Calibri" w:hAnsi="Calibri" w:cs="Calibri"/>
                <w:color w:val="000000" w:themeColor="text1"/>
              </w:rPr>
              <w:t xml:space="preserve">The Methane Measurement Guidelines for Marginal Conventional Wells “describe procedures for grant recipients to adequately measure and monitor methane emissions prior to and following the plugging and abandonment of any MCW (U.S. DOE et al., 2023). The measurements also verify that plugged wells are no longer emitting methane.  </w:t>
            </w:r>
          </w:p>
          <w:p w14:paraId="254ECACF" w14:textId="32579866" w:rsidR="00A46810" w:rsidRPr="007900AF" w:rsidRDefault="007900AF" w:rsidP="007900AF">
            <w:pPr>
              <w:rPr>
                <w:rFonts w:ascii="Calibri" w:eastAsia="Calibri" w:hAnsi="Calibri" w:cs="Calibri"/>
                <w:color w:val="000000" w:themeColor="text1"/>
              </w:rPr>
            </w:pPr>
            <w:hyperlink r:id="rId26" w:history="1">
              <w:r w:rsidRPr="003863D2">
                <w:rPr>
                  <w:rStyle w:val="Hyperlink"/>
                  <w:rFonts w:ascii="Calibri" w:eastAsia="Calibri" w:hAnsi="Calibri" w:cs="Calibri"/>
                </w:rPr>
                <w:t>https://netl.doe.gov/sites/default/files/2024-06/DOE-NETL%20Methane%20Measurement%20Guidelines%20for%20Marginal%20Conventional%20Wells%20April%202024.pdf</w:t>
              </w:r>
            </w:hyperlink>
            <w:r w:rsidR="00A46810" w:rsidRPr="007900AF">
              <w:rPr>
                <w:rFonts w:ascii="Calibri" w:eastAsia="Calibri" w:hAnsi="Calibri" w:cs="Calibri"/>
                <w:color w:val="000000" w:themeColor="text1"/>
              </w:rPr>
              <w:t xml:space="preserve"> </w:t>
            </w:r>
          </w:p>
          <w:p w14:paraId="78AA723E" w14:textId="442594CB" w:rsidR="00447AF2" w:rsidRPr="00447AF2" w:rsidRDefault="00447AF2" w:rsidP="00A46810">
            <w:pPr>
              <w:pStyle w:val="ListParagraph"/>
              <w:ind w:left="360"/>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53A2F6BD" w:rsidR="002F0752" w:rsidRPr="00CF2E7C" w:rsidRDefault="009A411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3A8E193B" w:rsidR="002F0752" w:rsidRPr="00CF2E7C" w:rsidRDefault="00D416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86AC4C5" w:rsidR="002F0752" w:rsidRPr="00CF2E7C" w:rsidRDefault="00D416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330BBFB0" w:rsidR="002F0752" w:rsidRPr="00CF2E7C" w:rsidRDefault="00D416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64C5A22B" w:rsidR="002F0752" w:rsidRPr="00CF2E7C" w:rsidRDefault="00D416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0CEB46A8" w:rsidR="002F0752" w:rsidRPr="00CF2E7C" w:rsidRDefault="00D416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1" w:name="_Toc198223644"/>
      <w:r>
        <w:rPr>
          <w:rFonts w:eastAsia="Arial"/>
        </w:rPr>
        <w:t>6.</w:t>
      </w:r>
      <w:r w:rsidRPr="26567C6B">
        <w:rPr>
          <w:rFonts w:eastAsia="Arial"/>
        </w:rPr>
        <w:t>4.2 Coal-Related Methane Emissions</w:t>
      </w:r>
      <w:bookmarkEnd w:id="61"/>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lastRenderedPageBreak/>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2" w:name="_Toc198223645"/>
      <w:r>
        <w:rPr>
          <w:rFonts w:eastAsia="Arial"/>
        </w:rPr>
        <w:t>6.</w:t>
      </w:r>
      <w:r w:rsidRPr="26567C6B">
        <w:rPr>
          <w:rFonts w:eastAsia="Arial"/>
        </w:rPr>
        <w:t>4.3 Agriculture-Related Methane Emissions</w:t>
      </w:r>
      <w:bookmarkEnd w:id="62"/>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3" w:name="_Toc198223646"/>
      <w:bookmarkStart w:id="64" w:name="_Hlk201776227"/>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bookmarkEnd w:id="64"/>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5077A196" w:rsidR="002F0752" w:rsidRPr="00CF2E7C" w:rsidRDefault="00E70EA3"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87EE005"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0751AC6D" w:rsidR="002F0752" w:rsidRPr="00CF2E7C" w:rsidRDefault="008201F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350794F" w:rsidR="002F0752" w:rsidRPr="00CF2E7C" w:rsidRDefault="008201F7" w:rsidP="00CF2E7C">
            <w:pPr>
              <w:shd w:val="clear" w:color="auto" w:fill="FFFFFF" w:themeFill="background1"/>
              <w:spacing w:before="40" w:after="40"/>
              <w:rPr>
                <w:rFonts w:ascii="Calibri" w:hAnsi="Calibri" w:cs="Calibri"/>
              </w:rPr>
            </w:pPr>
            <w:r w:rsidRPr="009C64B1">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214AAFE1" w:rsidR="002F0752" w:rsidRPr="009C64B1" w:rsidRDefault="008201F7" w:rsidP="00CF2E7C">
            <w:pPr>
              <w:shd w:val="clear" w:color="auto" w:fill="FFFFFF" w:themeFill="background1"/>
              <w:spacing w:before="40" w:after="40"/>
              <w:rPr>
                <w:rFonts w:ascii="Calibri" w:eastAsia="Calibri" w:hAnsi="Calibri" w:cs="Calibri"/>
                <w:color w:val="000000" w:themeColor="text1"/>
              </w:rPr>
            </w:pPr>
            <w:r w:rsidRPr="009C64B1">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494A1EF5" w:rsidR="002F0752" w:rsidRPr="009C64B1" w:rsidRDefault="008201F7" w:rsidP="00CF2E7C">
            <w:pPr>
              <w:shd w:val="clear" w:color="auto" w:fill="FFFFFF" w:themeFill="background1"/>
              <w:spacing w:before="40" w:after="40"/>
              <w:rPr>
                <w:rFonts w:ascii="Calibri" w:hAnsi="Calibri" w:cs="Calibri"/>
              </w:rPr>
            </w:pPr>
            <w:r w:rsidRPr="009C64B1">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bookmarkStart w:id="65" w:name="_Hlk201776859"/>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bookmarkEnd w:id="65"/>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2E781984"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237B42F" w:rsidR="002F0752" w:rsidRPr="00CF2E7C" w:rsidRDefault="00E70EA3"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532787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7DD78346" w:rsidR="002F0752" w:rsidRPr="00CF2E7C" w:rsidRDefault="008201F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FD41348" w:rsidR="002F0752" w:rsidRPr="00D665FD" w:rsidRDefault="008201F7" w:rsidP="00CF2E7C">
            <w:pPr>
              <w:shd w:val="clear" w:color="auto" w:fill="FFFFFF" w:themeFill="background1"/>
              <w:spacing w:before="40" w:after="40"/>
              <w:rPr>
                <w:rFonts w:ascii="Calibri" w:hAnsi="Calibri" w:cs="Calibri"/>
              </w:rPr>
            </w:pPr>
            <w:r w:rsidRPr="00D665FD">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5F49EEE" w:rsidR="002F0752" w:rsidRPr="00D665FD" w:rsidRDefault="008201F7" w:rsidP="00CF2E7C">
            <w:pPr>
              <w:shd w:val="clear" w:color="auto" w:fill="FFFFFF" w:themeFill="background1"/>
              <w:spacing w:before="40" w:after="40"/>
              <w:rPr>
                <w:rFonts w:ascii="Calibri" w:hAnsi="Calibri" w:cs="Calibri"/>
              </w:rPr>
            </w:pPr>
            <w:r w:rsidRPr="00D665FD">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6481C7E8" w:rsidR="002F0752" w:rsidRPr="00D665FD" w:rsidRDefault="008201F7" w:rsidP="00CF2E7C">
            <w:pPr>
              <w:shd w:val="clear" w:color="auto" w:fill="FFFFFF" w:themeFill="background1"/>
              <w:spacing w:before="40" w:after="40"/>
              <w:rPr>
                <w:rFonts w:ascii="Calibri" w:hAnsi="Calibri" w:cs="Calibri"/>
              </w:rPr>
            </w:pPr>
            <w:r w:rsidRPr="00D665FD">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61DEF901" w:rsidR="002F0752" w:rsidRPr="00D665FD" w:rsidRDefault="008201F7" w:rsidP="00CF2E7C">
            <w:pPr>
              <w:shd w:val="clear" w:color="auto" w:fill="FFFFFF" w:themeFill="background1"/>
              <w:spacing w:before="40" w:after="40"/>
              <w:rPr>
                <w:rFonts w:ascii="Calibri" w:hAnsi="Calibri" w:cs="Calibri"/>
              </w:rPr>
            </w:pPr>
            <w:r w:rsidRPr="00D665FD">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42038084" w:rsidR="002F0752" w:rsidRPr="00D665FD" w:rsidRDefault="008201F7" w:rsidP="00CF2E7C">
            <w:pPr>
              <w:shd w:val="clear" w:color="auto" w:fill="FFFFFF" w:themeFill="background1"/>
              <w:spacing w:before="40" w:after="40"/>
              <w:rPr>
                <w:rFonts w:ascii="Calibri" w:hAnsi="Calibri" w:cs="Calibri"/>
              </w:rPr>
            </w:pPr>
            <w:r w:rsidRPr="00D665FD">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4B9C5C2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77423C4F" w:rsidR="002F0752" w:rsidRPr="00CF2E7C" w:rsidRDefault="00651AAF"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2481A075" w:rsidR="002F0752" w:rsidRPr="00CF2E7C" w:rsidRDefault="00EE1DAD" w:rsidP="00CF2E7C">
            <w:pPr>
              <w:shd w:val="clear" w:color="auto" w:fill="FFFFFF" w:themeFill="background1"/>
              <w:spacing w:before="40"/>
              <w:rPr>
                <w:rFonts w:ascii="Calibri" w:hAnsi="Calibri" w:cs="Calibri"/>
              </w:rPr>
            </w:pPr>
            <w:r>
              <w:rPr>
                <w:rFonts w:ascii="Calibri" w:hAnsi="Calibri" w:cs="Calibri"/>
              </w:rPr>
              <w:t xml:space="preserve"> </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39676C31" w:rsidR="002F0752" w:rsidRPr="00CF2E7C" w:rsidRDefault="008201F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24BA7802"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1E1F84D0" w:rsidR="002F0752" w:rsidRPr="00CF2E7C" w:rsidRDefault="00651AAF"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72ADF2DE" w:rsidR="002F0752" w:rsidRPr="00CF2E7C" w:rsidRDefault="008201F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64B1D05" w:rsidR="002F0752" w:rsidRPr="00CF2E7C" w:rsidRDefault="008201F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5AA511B8" w:rsidR="002F0752" w:rsidRPr="00CF2E7C" w:rsidRDefault="008201F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bookmarkStart w:id="66" w:name="_Hlk201776847"/>
            <w:r w:rsidRPr="00CF2E7C">
              <w:rPr>
                <w:rFonts w:ascii="Calibri" w:hAnsi="Calibri" w:cs="Calibri"/>
              </w:rPr>
              <w:t xml:space="preserve">National/subnational standard </w:t>
            </w:r>
            <w:bookmarkEnd w:id="66"/>
            <w:r w:rsidRPr="00CF2E7C">
              <w:rPr>
                <w:rFonts w:ascii="Calibri" w:hAnsi="Calibri" w:cs="Calibri"/>
              </w:rPr>
              <w:t xml:space="preserve">(Describe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E083D74"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D2A3E78" w:rsidR="002F0752" w:rsidRPr="00CF2E7C" w:rsidRDefault="00E70EA3"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3DD5EE6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D665F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35414F7E" w:rsidR="002F0752" w:rsidRPr="00D665FD" w:rsidRDefault="008201F7" w:rsidP="00CF2E7C">
            <w:pPr>
              <w:shd w:val="clear" w:color="auto" w:fill="FFFFFF" w:themeFill="background1"/>
              <w:spacing w:before="40" w:after="40"/>
              <w:rPr>
                <w:rFonts w:ascii="Calibri" w:hAnsi="Calibri" w:cs="Calibri"/>
              </w:rPr>
            </w:pPr>
            <w:r w:rsidRPr="00D665FD">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D665FD"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25935B0F" w:rsidR="002F0752" w:rsidRPr="00D665FD" w:rsidRDefault="008201F7" w:rsidP="00CF2E7C">
            <w:pPr>
              <w:shd w:val="clear" w:color="auto" w:fill="FFFFFF" w:themeFill="background1"/>
              <w:spacing w:before="40" w:after="40"/>
              <w:rPr>
                <w:rFonts w:ascii="Calibri" w:hAnsi="Calibri" w:cs="Calibri"/>
              </w:rPr>
            </w:pPr>
            <w:r w:rsidRPr="00D665FD">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EF1E1C" w14:textId="3AE6A85E" w:rsidR="00E70EA3" w:rsidRPr="00E70EA3" w:rsidRDefault="00E70EA3" w:rsidP="00B85173">
            <w:pPr>
              <w:rPr>
                <w:rFonts w:ascii="Calibri" w:hAnsi="Calibri" w:cs="Calibri"/>
                <w:lang w:val="en-US"/>
              </w:rPr>
            </w:pPr>
            <w:r w:rsidRPr="00E70EA3">
              <w:rPr>
                <w:rFonts w:ascii="Calibri" w:hAnsi="Calibri" w:cs="Calibri"/>
                <w:lang w:val="en-US"/>
              </w:rPr>
              <w:t xml:space="preserve">The EPA’s LDAR best practice guidance is indirectly referenced in the FOA-3256 project “WELL Check” led by </w:t>
            </w:r>
            <w:proofErr w:type="spellStart"/>
            <w:r w:rsidRPr="00E70EA3">
              <w:rPr>
                <w:rFonts w:ascii="Calibri" w:hAnsi="Calibri" w:cs="Calibri"/>
                <w:lang w:val="en-US"/>
              </w:rPr>
              <w:t>GTI</w:t>
            </w:r>
            <w:proofErr w:type="spellEnd"/>
            <w:r w:rsidRPr="00E70EA3">
              <w:rPr>
                <w:rFonts w:ascii="Calibri" w:hAnsi="Calibri" w:cs="Calibri"/>
                <w:lang w:val="en-US"/>
              </w:rPr>
              <w:t xml:space="preserve"> Energy, which includes implementing “industry best practices programs to identify and repair leak sources,” a phrase that aligns with EPA’s established LDAR protocols.</w:t>
            </w:r>
          </w:p>
          <w:p w14:paraId="712A4067" w14:textId="78C0F41C" w:rsidR="00E70EA3" w:rsidRPr="00E70EA3" w:rsidRDefault="00E70EA3" w:rsidP="00B85173">
            <w:pPr>
              <w:rPr>
                <w:rFonts w:ascii="Calibri" w:hAnsi="Calibri" w:cs="Calibri"/>
                <w:lang w:val="en-US"/>
              </w:rPr>
            </w:pPr>
            <w:r w:rsidRPr="00E70EA3">
              <w:rPr>
                <w:rFonts w:ascii="Calibri" w:hAnsi="Calibri" w:cs="Calibri"/>
                <w:lang w:val="en-US"/>
              </w:rPr>
              <w:t>The DOE’s Methane Measurement Guidelines for Marginal Conventional Wells, which support implementation of FOA-3109, explicitly state that grantees must comply with “all applicable state or Federal plugging and abandonment requirements,” thereby referencing national and subnational regulatory standards.</w:t>
            </w:r>
          </w:p>
          <w:p w14:paraId="2AE42240" w14:textId="7562FA53" w:rsidR="00DC704D" w:rsidRDefault="00DC704D" w:rsidP="00B85173">
            <w:pPr>
              <w:rPr>
                <w:rFonts w:ascii="Calibri" w:hAnsi="Calibri" w:cs="Calibri"/>
              </w:rPr>
            </w:pPr>
            <w:r>
              <w:rPr>
                <w:rFonts w:ascii="Calibri" w:hAnsi="Calibri" w:cs="Calibri"/>
              </w:rPr>
              <w:t xml:space="preserve">The guidelines provided under the Methan Measurement Guidelines for Marginal Convention Wells recommend the use of Bag Sampling (Emissions Rate Measurement) which is conducted according to the EPA Protocol for Equipment Leak emissions Estimates.  </w:t>
            </w:r>
            <w:r>
              <w:rPr>
                <w:rFonts w:ascii="Calibri" w:hAnsi="Calibri" w:cs="Calibri"/>
                <w:i/>
                <w:iCs/>
              </w:rPr>
              <w:t xml:space="preserve">See </w:t>
            </w:r>
            <w:proofErr w:type="spellStart"/>
            <w:r>
              <w:rPr>
                <w:rFonts w:ascii="Calibri" w:hAnsi="Calibri" w:cs="Calibri"/>
              </w:rPr>
              <w:t>pg</w:t>
            </w:r>
            <w:proofErr w:type="spellEnd"/>
            <w:r>
              <w:rPr>
                <w:rFonts w:ascii="Calibri" w:hAnsi="Calibri" w:cs="Calibri"/>
              </w:rPr>
              <w:t xml:space="preserve"> 14. </w:t>
            </w:r>
          </w:p>
          <w:p w14:paraId="31E58F47" w14:textId="77777777" w:rsidR="00EE1DAD" w:rsidRDefault="00946559" w:rsidP="00EE1DAD">
            <w:pPr>
              <w:rPr>
                <w:rFonts w:ascii="Calibri" w:hAnsi="Calibri" w:cs="Calibri"/>
              </w:rPr>
            </w:pPr>
            <w:r>
              <w:rPr>
                <w:rFonts w:ascii="Calibri" w:hAnsi="Calibri" w:cs="Calibri"/>
              </w:rPr>
              <w:t xml:space="preserve">In a subsection of the </w:t>
            </w:r>
            <w:r w:rsidR="00DC704D">
              <w:rPr>
                <w:rFonts w:ascii="Calibri" w:hAnsi="Calibri" w:cs="Calibri"/>
              </w:rPr>
              <w:t>guidelines</w:t>
            </w:r>
            <w:r>
              <w:rPr>
                <w:rFonts w:ascii="Calibri" w:hAnsi="Calibri" w:cs="Calibri"/>
              </w:rPr>
              <w:t xml:space="preserve"> focused on describing “instruments and approaches that provide a preliminary assessment of emissions at MCW sites,” the Methane Measurement Guidelines for Marginal Conventional Wells states that “</w:t>
            </w:r>
            <w:r w:rsidR="00527491">
              <w:rPr>
                <w:rFonts w:ascii="Calibri" w:hAnsi="Calibri" w:cs="Calibri"/>
              </w:rPr>
              <w:t xml:space="preserve">[o]ne option for a recommended screening protocol follows the U.S. EPA Method 21 (Code of Federal Regulations, U.S. EPA, 2017). </w:t>
            </w:r>
          </w:p>
          <w:p w14:paraId="216F1CD0" w14:textId="76D10147" w:rsidR="00E70EA3" w:rsidRPr="00EE1DAD" w:rsidRDefault="00EE1DAD" w:rsidP="00EE1DAD">
            <w:pPr>
              <w:rPr>
                <w:rFonts w:ascii="Calibri" w:hAnsi="Calibri" w:cs="Calibri"/>
              </w:rPr>
            </w:pPr>
            <w:hyperlink r:id="rId27" w:history="1">
              <w:r w:rsidRPr="00FC5ADF">
                <w:rPr>
                  <w:rStyle w:val="Hyperlink"/>
                  <w:rFonts w:ascii="Calibri" w:hAnsi="Calibri" w:cs="Calibri"/>
                </w:rPr>
                <w:t>https://netl.doe.gov/sites/default/files/2024-06/DOE-NETL%20Methane%20Measurement%20Guidelines%20for%20Marginal%20Conventional%20Wells%20April%202024.pdf</w:t>
              </w:r>
            </w:hyperlink>
            <w:r>
              <w:rPr>
                <w:rFonts w:ascii="Calibri" w:hAnsi="Calibri" w:cs="Calibri"/>
              </w:rPr>
              <w:t xml:space="preserve"> </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p w14:paraId="12F41DFE" w14:textId="3A2F5D89" w:rsidR="004F3670" w:rsidRDefault="004F3670">
      <w:pPr>
        <w:spacing w:before="0" w:after="0"/>
      </w:pPr>
      <w:r>
        <w:br w:type="page"/>
      </w:r>
    </w:p>
    <w:p w14:paraId="47D810F9" w14:textId="7A3491A5" w:rsidR="00F86B69" w:rsidRDefault="00F86B69" w:rsidP="00F86B69">
      <w:pPr>
        <w:pStyle w:val="DocID"/>
      </w:pPr>
      <w:fldSimple w:instr=" DOCPROPERTY DOCXDOCID DMS=IManage Format=&lt;&lt;NUM&gt;&gt;v.&lt;&lt;VER&gt;&gt; \* MERGEFORMAT ">
        <w:r w:rsidRPr="00F86B69">
          <w:t>530710663v.1</w:t>
        </w:r>
      </w:fldSimple>
    </w:p>
    <w:sectPr w:rsidR="00F86B69" w:rsidSect="00E20574">
      <w:headerReference w:type="default" r:id="rId2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10A9DA" w14:textId="77777777" w:rsidR="003002B2" w:rsidRDefault="003002B2" w:rsidP="00874E39">
      <w:r>
        <w:separator/>
      </w:r>
    </w:p>
  </w:endnote>
  <w:endnote w:type="continuationSeparator" w:id="0">
    <w:p w14:paraId="6C810566" w14:textId="77777777" w:rsidR="003002B2" w:rsidRDefault="003002B2" w:rsidP="00874E39">
      <w:r>
        <w:continuationSeparator/>
      </w:r>
    </w:p>
  </w:endnote>
  <w:endnote w:type="continuationNotice" w:id="1">
    <w:p w14:paraId="511D8B28" w14:textId="77777777" w:rsidR="003002B2" w:rsidRDefault="003002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F8B754B"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9A2328" w14:textId="77777777" w:rsidR="003002B2" w:rsidRDefault="003002B2" w:rsidP="00874E39">
      <w:r>
        <w:separator/>
      </w:r>
    </w:p>
  </w:footnote>
  <w:footnote w:type="continuationSeparator" w:id="0">
    <w:p w14:paraId="185C8C2E" w14:textId="77777777" w:rsidR="003002B2" w:rsidRDefault="003002B2" w:rsidP="00874E39">
      <w:r>
        <w:continuationSeparator/>
      </w:r>
    </w:p>
  </w:footnote>
  <w:footnote w:type="continuationNotice" w:id="1">
    <w:p w14:paraId="41694B61" w14:textId="77777777" w:rsidR="003002B2" w:rsidRDefault="003002B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2547C6" w14:textId="77777777" w:rsidR="00243698" w:rsidRDefault="0024369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A727D9" w14:textId="77777777" w:rsidR="00243698" w:rsidRDefault="0024369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5A71739"/>
    <w:multiLevelType w:val="hybridMultilevel"/>
    <w:tmpl w:val="3BE2CFCE"/>
    <w:lvl w:ilvl="0" w:tplc="A63000FE">
      <w:start w:val="1"/>
      <w:numFmt w:val="bullet"/>
      <w:lvlText w:val=""/>
      <w:lvlJc w:val="left"/>
      <w:pPr>
        <w:ind w:left="1440" w:hanging="360"/>
      </w:pPr>
      <w:rPr>
        <w:rFonts w:ascii="Symbol" w:hAnsi="Symbol"/>
      </w:rPr>
    </w:lvl>
    <w:lvl w:ilvl="1" w:tplc="6D5834A6">
      <w:start w:val="1"/>
      <w:numFmt w:val="bullet"/>
      <w:lvlText w:val=""/>
      <w:lvlJc w:val="left"/>
      <w:pPr>
        <w:ind w:left="1440" w:hanging="360"/>
      </w:pPr>
      <w:rPr>
        <w:rFonts w:ascii="Symbol" w:hAnsi="Symbol"/>
      </w:rPr>
    </w:lvl>
    <w:lvl w:ilvl="2" w:tplc="3EE8AF9E">
      <w:start w:val="1"/>
      <w:numFmt w:val="bullet"/>
      <w:lvlText w:val=""/>
      <w:lvlJc w:val="left"/>
      <w:pPr>
        <w:ind w:left="1440" w:hanging="360"/>
      </w:pPr>
      <w:rPr>
        <w:rFonts w:ascii="Symbol" w:hAnsi="Symbol"/>
      </w:rPr>
    </w:lvl>
    <w:lvl w:ilvl="3" w:tplc="E1C4B87E">
      <w:start w:val="1"/>
      <w:numFmt w:val="bullet"/>
      <w:lvlText w:val=""/>
      <w:lvlJc w:val="left"/>
      <w:pPr>
        <w:ind w:left="1440" w:hanging="360"/>
      </w:pPr>
      <w:rPr>
        <w:rFonts w:ascii="Symbol" w:hAnsi="Symbol"/>
      </w:rPr>
    </w:lvl>
    <w:lvl w:ilvl="4" w:tplc="64BC13A6">
      <w:start w:val="1"/>
      <w:numFmt w:val="bullet"/>
      <w:lvlText w:val=""/>
      <w:lvlJc w:val="left"/>
      <w:pPr>
        <w:ind w:left="1440" w:hanging="360"/>
      </w:pPr>
      <w:rPr>
        <w:rFonts w:ascii="Symbol" w:hAnsi="Symbol"/>
      </w:rPr>
    </w:lvl>
    <w:lvl w:ilvl="5" w:tplc="3CDC4CE6">
      <w:start w:val="1"/>
      <w:numFmt w:val="bullet"/>
      <w:lvlText w:val=""/>
      <w:lvlJc w:val="left"/>
      <w:pPr>
        <w:ind w:left="1440" w:hanging="360"/>
      </w:pPr>
      <w:rPr>
        <w:rFonts w:ascii="Symbol" w:hAnsi="Symbol"/>
      </w:rPr>
    </w:lvl>
    <w:lvl w:ilvl="6" w:tplc="807809A6">
      <w:start w:val="1"/>
      <w:numFmt w:val="bullet"/>
      <w:lvlText w:val=""/>
      <w:lvlJc w:val="left"/>
      <w:pPr>
        <w:ind w:left="1440" w:hanging="360"/>
      </w:pPr>
      <w:rPr>
        <w:rFonts w:ascii="Symbol" w:hAnsi="Symbol"/>
      </w:rPr>
    </w:lvl>
    <w:lvl w:ilvl="7" w:tplc="72825204">
      <w:start w:val="1"/>
      <w:numFmt w:val="bullet"/>
      <w:lvlText w:val=""/>
      <w:lvlJc w:val="left"/>
      <w:pPr>
        <w:ind w:left="1440" w:hanging="360"/>
      </w:pPr>
      <w:rPr>
        <w:rFonts w:ascii="Symbol" w:hAnsi="Symbol"/>
      </w:rPr>
    </w:lvl>
    <w:lvl w:ilvl="8" w:tplc="C8B09AE2">
      <w:start w:val="1"/>
      <w:numFmt w:val="bullet"/>
      <w:lvlText w:val=""/>
      <w:lvlJc w:val="left"/>
      <w:pPr>
        <w:ind w:left="1440" w:hanging="360"/>
      </w:pPr>
      <w:rPr>
        <w:rFonts w:ascii="Symbol" w:hAnsi="Symbol"/>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ABD384C"/>
    <w:multiLevelType w:val="hybridMultilevel"/>
    <w:tmpl w:val="DB3C35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46B7D89"/>
    <w:multiLevelType w:val="hybridMultilevel"/>
    <w:tmpl w:val="7A1024E6"/>
    <w:lvl w:ilvl="0" w:tplc="CE124714">
      <w:start w:val="1"/>
      <w:numFmt w:val="bullet"/>
      <w:lvlText w:val=""/>
      <w:lvlJc w:val="left"/>
      <w:pPr>
        <w:ind w:left="1440" w:hanging="360"/>
      </w:pPr>
      <w:rPr>
        <w:rFonts w:ascii="Symbol" w:hAnsi="Symbol"/>
      </w:rPr>
    </w:lvl>
    <w:lvl w:ilvl="1" w:tplc="2B7C98FE">
      <w:start w:val="1"/>
      <w:numFmt w:val="bullet"/>
      <w:lvlText w:val=""/>
      <w:lvlJc w:val="left"/>
      <w:pPr>
        <w:ind w:left="1440" w:hanging="360"/>
      </w:pPr>
      <w:rPr>
        <w:rFonts w:ascii="Symbol" w:hAnsi="Symbol"/>
      </w:rPr>
    </w:lvl>
    <w:lvl w:ilvl="2" w:tplc="D7D0CBE6">
      <w:start w:val="1"/>
      <w:numFmt w:val="bullet"/>
      <w:lvlText w:val=""/>
      <w:lvlJc w:val="left"/>
      <w:pPr>
        <w:ind w:left="1440" w:hanging="360"/>
      </w:pPr>
      <w:rPr>
        <w:rFonts w:ascii="Symbol" w:hAnsi="Symbol"/>
      </w:rPr>
    </w:lvl>
    <w:lvl w:ilvl="3" w:tplc="F3BE7EA8">
      <w:start w:val="1"/>
      <w:numFmt w:val="bullet"/>
      <w:lvlText w:val=""/>
      <w:lvlJc w:val="left"/>
      <w:pPr>
        <w:ind w:left="1440" w:hanging="360"/>
      </w:pPr>
      <w:rPr>
        <w:rFonts w:ascii="Symbol" w:hAnsi="Symbol"/>
      </w:rPr>
    </w:lvl>
    <w:lvl w:ilvl="4" w:tplc="7E04C25E">
      <w:start w:val="1"/>
      <w:numFmt w:val="bullet"/>
      <w:lvlText w:val=""/>
      <w:lvlJc w:val="left"/>
      <w:pPr>
        <w:ind w:left="1440" w:hanging="360"/>
      </w:pPr>
      <w:rPr>
        <w:rFonts w:ascii="Symbol" w:hAnsi="Symbol"/>
      </w:rPr>
    </w:lvl>
    <w:lvl w:ilvl="5" w:tplc="1FAC5F96">
      <w:start w:val="1"/>
      <w:numFmt w:val="bullet"/>
      <w:lvlText w:val=""/>
      <w:lvlJc w:val="left"/>
      <w:pPr>
        <w:ind w:left="1440" w:hanging="360"/>
      </w:pPr>
      <w:rPr>
        <w:rFonts w:ascii="Symbol" w:hAnsi="Symbol"/>
      </w:rPr>
    </w:lvl>
    <w:lvl w:ilvl="6" w:tplc="52529FCA">
      <w:start w:val="1"/>
      <w:numFmt w:val="bullet"/>
      <w:lvlText w:val=""/>
      <w:lvlJc w:val="left"/>
      <w:pPr>
        <w:ind w:left="1440" w:hanging="360"/>
      </w:pPr>
      <w:rPr>
        <w:rFonts w:ascii="Symbol" w:hAnsi="Symbol"/>
      </w:rPr>
    </w:lvl>
    <w:lvl w:ilvl="7" w:tplc="A558D23A">
      <w:start w:val="1"/>
      <w:numFmt w:val="bullet"/>
      <w:lvlText w:val=""/>
      <w:lvlJc w:val="left"/>
      <w:pPr>
        <w:ind w:left="1440" w:hanging="360"/>
      </w:pPr>
      <w:rPr>
        <w:rFonts w:ascii="Symbol" w:hAnsi="Symbol"/>
      </w:rPr>
    </w:lvl>
    <w:lvl w:ilvl="8" w:tplc="887807B2">
      <w:start w:val="1"/>
      <w:numFmt w:val="bullet"/>
      <w:lvlText w:val=""/>
      <w:lvlJc w:val="left"/>
      <w:pPr>
        <w:ind w:left="1440" w:hanging="360"/>
      </w:pPr>
      <w:rPr>
        <w:rFonts w:ascii="Symbol" w:hAnsi="Symbol"/>
      </w:rPr>
    </w:lvl>
  </w:abstractNum>
  <w:abstractNum w:abstractNumId="11" w15:restartNumberingAfterBreak="0">
    <w:nsid w:val="16223F90"/>
    <w:multiLevelType w:val="hybridMultilevel"/>
    <w:tmpl w:val="7952DC9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3"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4"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5"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6" w15:restartNumberingAfterBreak="0">
    <w:nsid w:val="25B66EE3"/>
    <w:multiLevelType w:val="hybridMultilevel"/>
    <w:tmpl w:val="AFA03EEE"/>
    <w:lvl w:ilvl="0" w:tplc="826CCB8A">
      <w:start w:val="1"/>
      <w:numFmt w:val="bullet"/>
      <w:lvlText w:val=""/>
      <w:lvlJc w:val="left"/>
      <w:pPr>
        <w:ind w:left="1440" w:hanging="360"/>
      </w:pPr>
      <w:rPr>
        <w:rFonts w:ascii="Symbol" w:hAnsi="Symbol"/>
      </w:rPr>
    </w:lvl>
    <w:lvl w:ilvl="1" w:tplc="0A5A708A">
      <w:start w:val="1"/>
      <w:numFmt w:val="bullet"/>
      <w:lvlText w:val=""/>
      <w:lvlJc w:val="left"/>
      <w:pPr>
        <w:ind w:left="1440" w:hanging="360"/>
      </w:pPr>
      <w:rPr>
        <w:rFonts w:ascii="Symbol" w:hAnsi="Symbol"/>
      </w:rPr>
    </w:lvl>
    <w:lvl w:ilvl="2" w:tplc="DD3AA048">
      <w:start w:val="1"/>
      <w:numFmt w:val="bullet"/>
      <w:lvlText w:val=""/>
      <w:lvlJc w:val="left"/>
      <w:pPr>
        <w:ind w:left="1440" w:hanging="360"/>
      </w:pPr>
      <w:rPr>
        <w:rFonts w:ascii="Symbol" w:hAnsi="Symbol"/>
      </w:rPr>
    </w:lvl>
    <w:lvl w:ilvl="3" w:tplc="7F820914">
      <w:start w:val="1"/>
      <w:numFmt w:val="bullet"/>
      <w:lvlText w:val=""/>
      <w:lvlJc w:val="left"/>
      <w:pPr>
        <w:ind w:left="1440" w:hanging="360"/>
      </w:pPr>
      <w:rPr>
        <w:rFonts w:ascii="Symbol" w:hAnsi="Symbol"/>
      </w:rPr>
    </w:lvl>
    <w:lvl w:ilvl="4" w:tplc="BAE6BB9A">
      <w:start w:val="1"/>
      <w:numFmt w:val="bullet"/>
      <w:lvlText w:val=""/>
      <w:lvlJc w:val="left"/>
      <w:pPr>
        <w:ind w:left="1440" w:hanging="360"/>
      </w:pPr>
      <w:rPr>
        <w:rFonts w:ascii="Symbol" w:hAnsi="Symbol"/>
      </w:rPr>
    </w:lvl>
    <w:lvl w:ilvl="5" w:tplc="B40A6AB2">
      <w:start w:val="1"/>
      <w:numFmt w:val="bullet"/>
      <w:lvlText w:val=""/>
      <w:lvlJc w:val="left"/>
      <w:pPr>
        <w:ind w:left="1440" w:hanging="360"/>
      </w:pPr>
      <w:rPr>
        <w:rFonts w:ascii="Symbol" w:hAnsi="Symbol"/>
      </w:rPr>
    </w:lvl>
    <w:lvl w:ilvl="6" w:tplc="9A424912">
      <w:start w:val="1"/>
      <w:numFmt w:val="bullet"/>
      <w:lvlText w:val=""/>
      <w:lvlJc w:val="left"/>
      <w:pPr>
        <w:ind w:left="1440" w:hanging="360"/>
      </w:pPr>
      <w:rPr>
        <w:rFonts w:ascii="Symbol" w:hAnsi="Symbol"/>
      </w:rPr>
    </w:lvl>
    <w:lvl w:ilvl="7" w:tplc="888E220E">
      <w:start w:val="1"/>
      <w:numFmt w:val="bullet"/>
      <w:lvlText w:val=""/>
      <w:lvlJc w:val="left"/>
      <w:pPr>
        <w:ind w:left="1440" w:hanging="360"/>
      </w:pPr>
      <w:rPr>
        <w:rFonts w:ascii="Symbol" w:hAnsi="Symbol"/>
      </w:rPr>
    </w:lvl>
    <w:lvl w:ilvl="8" w:tplc="F222B1BE">
      <w:start w:val="1"/>
      <w:numFmt w:val="bullet"/>
      <w:lvlText w:val=""/>
      <w:lvlJc w:val="left"/>
      <w:pPr>
        <w:ind w:left="1440" w:hanging="360"/>
      </w:pPr>
      <w:rPr>
        <w:rFonts w:ascii="Symbol" w:hAnsi="Symbol"/>
      </w:rPr>
    </w:lvl>
  </w:abstractNum>
  <w:abstractNum w:abstractNumId="17"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8"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9"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20" w15:restartNumberingAfterBreak="0">
    <w:nsid w:val="2DF975F1"/>
    <w:multiLevelType w:val="hybridMultilevel"/>
    <w:tmpl w:val="EBD8702E"/>
    <w:lvl w:ilvl="0" w:tplc="2F1CC592">
      <w:start w:val="21"/>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F2145F7"/>
    <w:multiLevelType w:val="hybridMultilevel"/>
    <w:tmpl w:val="A240EE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3"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4"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5"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6"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7"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8"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9"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30"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1"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2"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3"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4"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5"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6"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7"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8"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9"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0"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1"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2"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3" w15:restartNumberingAfterBreak="0">
    <w:nsid w:val="512D7FB4"/>
    <w:multiLevelType w:val="hybridMultilevel"/>
    <w:tmpl w:val="03EA9A4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6"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7"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8" w15:restartNumberingAfterBreak="0">
    <w:nsid w:val="58B97AB0"/>
    <w:multiLevelType w:val="hybridMultilevel"/>
    <w:tmpl w:val="154665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50"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1"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2"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3"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4"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5" w15:restartNumberingAfterBreak="0">
    <w:nsid w:val="6FE45541"/>
    <w:multiLevelType w:val="hybridMultilevel"/>
    <w:tmpl w:val="B81EDF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3"/>
  </w:num>
  <w:num w:numId="2" w16cid:durableId="482308869">
    <w:abstractNumId w:val="30"/>
  </w:num>
  <w:num w:numId="3" w16cid:durableId="690952733">
    <w:abstractNumId w:val="50"/>
  </w:num>
  <w:num w:numId="4" w16cid:durableId="1689330127">
    <w:abstractNumId w:val="1"/>
  </w:num>
  <w:num w:numId="5" w16cid:durableId="401291788">
    <w:abstractNumId w:val="35"/>
  </w:num>
  <w:num w:numId="6" w16cid:durableId="1276788690">
    <w:abstractNumId w:val="18"/>
  </w:num>
  <w:num w:numId="7" w16cid:durableId="566767730">
    <w:abstractNumId w:val="27"/>
  </w:num>
  <w:num w:numId="8" w16cid:durableId="1780710843">
    <w:abstractNumId w:val="41"/>
  </w:num>
  <w:num w:numId="9" w16cid:durableId="1685783054">
    <w:abstractNumId w:val="4"/>
  </w:num>
  <w:num w:numId="10" w16cid:durableId="950551298">
    <w:abstractNumId w:val="38"/>
  </w:num>
  <w:num w:numId="11" w16cid:durableId="1591960799">
    <w:abstractNumId w:val="57"/>
  </w:num>
  <w:num w:numId="12" w16cid:durableId="1344891410">
    <w:abstractNumId w:val="13"/>
  </w:num>
  <w:num w:numId="13" w16cid:durableId="2023899324">
    <w:abstractNumId w:val="15"/>
  </w:num>
  <w:num w:numId="14" w16cid:durableId="430587014">
    <w:abstractNumId w:val="9"/>
  </w:num>
  <w:num w:numId="15" w16cid:durableId="1742869061">
    <w:abstractNumId w:val="37"/>
  </w:num>
  <w:num w:numId="16" w16cid:durableId="1996450437">
    <w:abstractNumId w:val="26"/>
  </w:num>
  <w:num w:numId="17" w16cid:durableId="1529031027">
    <w:abstractNumId w:val="12"/>
  </w:num>
  <w:num w:numId="18" w16cid:durableId="568614617">
    <w:abstractNumId w:val="24"/>
  </w:num>
  <w:num w:numId="19" w16cid:durableId="1530605858">
    <w:abstractNumId w:val="51"/>
  </w:num>
  <w:num w:numId="20" w16cid:durableId="1328172586">
    <w:abstractNumId w:val="22"/>
  </w:num>
  <w:num w:numId="21" w16cid:durableId="184827816">
    <w:abstractNumId w:val="34"/>
  </w:num>
  <w:num w:numId="22" w16cid:durableId="1785346599">
    <w:abstractNumId w:val="40"/>
  </w:num>
  <w:num w:numId="23" w16cid:durableId="1294288901">
    <w:abstractNumId w:val="33"/>
  </w:num>
  <w:num w:numId="24" w16cid:durableId="1603957975">
    <w:abstractNumId w:val="53"/>
  </w:num>
  <w:num w:numId="25" w16cid:durableId="1659531047">
    <w:abstractNumId w:val="52"/>
  </w:num>
  <w:num w:numId="26" w16cid:durableId="752774403">
    <w:abstractNumId w:val="29"/>
  </w:num>
  <w:num w:numId="27" w16cid:durableId="347872198">
    <w:abstractNumId w:val="8"/>
  </w:num>
  <w:num w:numId="28" w16cid:durableId="537133110">
    <w:abstractNumId w:val="17"/>
  </w:num>
  <w:num w:numId="29" w16cid:durableId="1632318729">
    <w:abstractNumId w:val="54"/>
  </w:num>
  <w:num w:numId="30" w16cid:durableId="1268124074">
    <w:abstractNumId w:val="39"/>
  </w:num>
  <w:num w:numId="31" w16cid:durableId="887108748">
    <w:abstractNumId w:val="36"/>
  </w:num>
  <w:num w:numId="32" w16cid:durableId="1826125712">
    <w:abstractNumId w:val="42"/>
  </w:num>
  <w:num w:numId="33" w16cid:durableId="823357978">
    <w:abstractNumId w:val="47"/>
  </w:num>
  <w:num w:numId="34" w16cid:durableId="1092120443">
    <w:abstractNumId w:val="46"/>
  </w:num>
  <w:num w:numId="35" w16cid:durableId="124861188">
    <w:abstractNumId w:val="14"/>
  </w:num>
  <w:num w:numId="36" w16cid:durableId="1952588250">
    <w:abstractNumId w:val="45"/>
  </w:num>
  <w:num w:numId="37" w16cid:durableId="1712027211">
    <w:abstractNumId w:val="5"/>
  </w:num>
  <w:num w:numId="38" w16cid:durableId="2033795929">
    <w:abstractNumId w:val="3"/>
  </w:num>
  <w:num w:numId="39" w16cid:durableId="1238595582">
    <w:abstractNumId w:val="31"/>
  </w:num>
  <w:num w:numId="40" w16cid:durableId="416558262">
    <w:abstractNumId w:val="28"/>
  </w:num>
  <w:num w:numId="41" w16cid:durableId="1543715517">
    <w:abstractNumId w:val="25"/>
  </w:num>
  <w:num w:numId="42" w16cid:durableId="452208391">
    <w:abstractNumId w:val="19"/>
  </w:num>
  <w:num w:numId="43" w16cid:durableId="260340070">
    <w:abstractNumId w:val="0"/>
  </w:num>
  <w:num w:numId="44" w16cid:durableId="1639914969">
    <w:abstractNumId w:val="7"/>
  </w:num>
  <w:num w:numId="45" w16cid:durableId="1554191892">
    <w:abstractNumId w:val="49"/>
  </w:num>
  <w:num w:numId="46" w16cid:durableId="947811845">
    <w:abstractNumId w:val="56"/>
  </w:num>
  <w:num w:numId="47" w16cid:durableId="342588554">
    <w:abstractNumId w:val="32"/>
  </w:num>
  <w:num w:numId="48" w16cid:durableId="318391343">
    <w:abstractNumId w:val="44"/>
  </w:num>
  <w:num w:numId="49" w16cid:durableId="1135177874">
    <w:abstractNumId w:val="55"/>
  </w:num>
  <w:num w:numId="50" w16cid:durableId="27265843">
    <w:abstractNumId w:val="48"/>
  </w:num>
  <w:num w:numId="51" w16cid:durableId="1808693696">
    <w:abstractNumId w:val="6"/>
  </w:num>
  <w:num w:numId="52" w16cid:durableId="1844856426">
    <w:abstractNumId w:val="11"/>
  </w:num>
  <w:num w:numId="53" w16cid:durableId="1022703216">
    <w:abstractNumId w:val="20"/>
  </w:num>
  <w:num w:numId="54" w16cid:durableId="460534484">
    <w:abstractNumId w:val="16"/>
  </w:num>
  <w:num w:numId="55" w16cid:durableId="979531484">
    <w:abstractNumId w:val="21"/>
  </w:num>
  <w:num w:numId="56" w16cid:durableId="1389184413">
    <w:abstractNumId w:val="43"/>
  </w:num>
  <w:num w:numId="57" w16cid:durableId="917250960">
    <w:abstractNumId w:val="2"/>
  </w:num>
  <w:num w:numId="58" w16cid:durableId="1156725968">
    <w:abstractNumId w:val="1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44A"/>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BD1"/>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213"/>
    <w:rsid w:val="00057A9F"/>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BB4"/>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1DEB"/>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1962"/>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B33"/>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2BD"/>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422"/>
    <w:rsid w:val="00146B77"/>
    <w:rsid w:val="001470A9"/>
    <w:rsid w:val="00150B6F"/>
    <w:rsid w:val="00150BA9"/>
    <w:rsid w:val="00152C19"/>
    <w:rsid w:val="00153DBC"/>
    <w:rsid w:val="001546B4"/>
    <w:rsid w:val="00156468"/>
    <w:rsid w:val="00156AE2"/>
    <w:rsid w:val="00156CD5"/>
    <w:rsid w:val="0015734C"/>
    <w:rsid w:val="00157F71"/>
    <w:rsid w:val="0016002C"/>
    <w:rsid w:val="00160486"/>
    <w:rsid w:val="001604B3"/>
    <w:rsid w:val="00161D1B"/>
    <w:rsid w:val="00162CC0"/>
    <w:rsid w:val="001643BA"/>
    <w:rsid w:val="00164519"/>
    <w:rsid w:val="00172B85"/>
    <w:rsid w:val="00173562"/>
    <w:rsid w:val="00173D7C"/>
    <w:rsid w:val="0017449C"/>
    <w:rsid w:val="001749C3"/>
    <w:rsid w:val="00175375"/>
    <w:rsid w:val="00176011"/>
    <w:rsid w:val="00180289"/>
    <w:rsid w:val="00181A89"/>
    <w:rsid w:val="00182288"/>
    <w:rsid w:val="00182646"/>
    <w:rsid w:val="00183170"/>
    <w:rsid w:val="00184609"/>
    <w:rsid w:val="00185C8C"/>
    <w:rsid w:val="001876B8"/>
    <w:rsid w:val="001904E6"/>
    <w:rsid w:val="00191059"/>
    <w:rsid w:val="001919D8"/>
    <w:rsid w:val="00192EC4"/>
    <w:rsid w:val="0019340B"/>
    <w:rsid w:val="00194CE6"/>
    <w:rsid w:val="001953A3"/>
    <w:rsid w:val="0019639C"/>
    <w:rsid w:val="00197A30"/>
    <w:rsid w:val="00197E06"/>
    <w:rsid w:val="001A0537"/>
    <w:rsid w:val="001A11A7"/>
    <w:rsid w:val="001A1B21"/>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68"/>
    <w:rsid w:val="001B4DEC"/>
    <w:rsid w:val="001B4FB1"/>
    <w:rsid w:val="001B60DE"/>
    <w:rsid w:val="001B76A9"/>
    <w:rsid w:val="001C008B"/>
    <w:rsid w:val="001C0769"/>
    <w:rsid w:val="001C239C"/>
    <w:rsid w:val="001C3435"/>
    <w:rsid w:val="001C3966"/>
    <w:rsid w:val="001C4045"/>
    <w:rsid w:val="001C4700"/>
    <w:rsid w:val="001C5009"/>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4B"/>
    <w:rsid w:val="001E7064"/>
    <w:rsid w:val="001E7C37"/>
    <w:rsid w:val="001E7EFB"/>
    <w:rsid w:val="001F028F"/>
    <w:rsid w:val="001F1106"/>
    <w:rsid w:val="001F1231"/>
    <w:rsid w:val="001F1584"/>
    <w:rsid w:val="001F2D88"/>
    <w:rsid w:val="001F2DE2"/>
    <w:rsid w:val="001F2FC4"/>
    <w:rsid w:val="001F30DE"/>
    <w:rsid w:val="001F36B6"/>
    <w:rsid w:val="001F5499"/>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1978"/>
    <w:rsid w:val="00221E8F"/>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698"/>
    <w:rsid w:val="00244207"/>
    <w:rsid w:val="00246630"/>
    <w:rsid w:val="00247759"/>
    <w:rsid w:val="00247DE7"/>
    <w:rsid w:val="002500FA"/>
    <w:rsid w:val="00250ED8"/>
    <w:rsid w:val="00250F54"/>
    <w:rsid w:val="0025129B"/>
    <w:rsid w:val="0025449C"/>
    <w:rsid w:val="002552C9"/>
    <w:rsid w:val="00257594"/>
    <w:rsid w:val="0025765F"/>
    <w:rsid w:val="00257732"/>
    <w:rsid w:val="00264CBC"/>
    <w:rsid w:val="0026588F"/>
    <w:rsid w:val="0026642F"/>
    <w:rsid w:val="002679A5"/>
    <w:rsid w:val="0027067C"/>
    <w:rsid w:val="00270A4D"/>
    <w:rsid w:val="00270B8A"/>
    <w:rsid w:val="00272877"/>
    <w:rsid w:val="00272D9A"/>
    <w:rsid w:val="002737EF"/>
    <w:rsid w:val="00274335"/>
    <w:rsid w:val="00274864"/>
    <w:rsid w:val="00274B22"/>
    <w:rsid w:val="00277FC5"/>
    <w:rsid w:val="00284ADD"/>
    <w:rsid w:val="00285CB6"/>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380C"/>
    <w:rsid w:val="002C5E2F"/>
    <w:rsid w:val="002C6925"/>
    <w:rsid w:val="002C6E63"/>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5EFC"/>
    <w:rsid w:val="003002B2"/>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1772C"/>
    <w:rsid w:val="003218C6"/>
    <w:rsid w:val="00322783"/>
    <w:rsid w:val="00322BCF"/>
    <w:rsid w:val="003243E3"/>
    <w:rsid w:val="00324698"/>
    <w:rsid w:val="00325558"/>
    <w:rsid w:val="00325771"/>
    <w:rsid w:val="00325E0E"/>
    <w:rsid w:val="00327F1C"/>
    <w:rsid w:val="003310EC"/>
    <w:rsid w:val="00331C00"/>
    <w:rsid w:val="00334282"/>
    <w:rsid w:val="003363CC"/>
    <w:rsid w:val="0033659B"/>
    <w:rsid w:val="0033727F"/>
    <w:rsid w:val="00340521"/>
    <w:rsid w:val="003421A5"/>
    <w:rsid w:val="003423AA"/>
    <w:rsid w:val="00343665"/>
    <w:rsid w:val="00343937"/>
    <w:rsid w:val="00344B03"/>
    <w:rsid w:val="00345B1A"/>
    <w:rsid w:val="003462E7"/>
    <w:rsid w:val="00346D03"/>
    <w:rsid w:val="003473CB"/>
    <w:rsid w:val="00347515"/>
    <w:rsid w:val="003510A0"/>
    <w:rsid w:val="003514EB"/>
    <w:rsid w:val="00351D6D"/>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43D"/>
    <w:rsid w:val="003B3C0F"/>
    <w:rsid w:val="003B4DD6"/>
    <w:rsid w:val="003B4F81"/>
    <w:rsid w:val="003B539A"/>
    <w:rsid w:val="003B5B6C"/>
    <w:rsid w:val="003B66F6"/>
    <w:rsid w:val="003B7854"/>
    <w:rsid w:val="003C16DA"/>
    <w:rsid w:val="003C5BA2"/>
    <w:rsid w:val="003C6118"/>
    <w:rsid w:val="003D17C7"/>
    <w:rsid w:val="003D1B49"/>
    <w:rsid w:val="003D1CF3"/>
    <w:rsid w:val="003D207B"/>
    <w:rsid w:val="003D244B"/>
    <w:rsid w:val="003D2F57"/>
    <w:rsid w:val="003D4F6F"/>
    <w:rsid w:val="003D5104"/>
    <w:rsid w:val="003D56A4"/>
    <w:rsid w:val="003D6DA5"/>
    <w:rsid w:val="003E037B"/>
    <w:rsid w:val="003E38C7"/>
    <w:rsid w:val="003E43FE"/>
    <w:rsid w:val="003E7A73"/>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5D3"/>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2D4"/>
    <w:rsid w:val="00444D51"/>
    <w:rsid w:val="004458E0"/>
    <w:rsid w:val="004474C7"/>
    <w:rsid w:val="00447AF2"/>
    <w:rsid w:val="00450AD7"/>
    <w:rsid w:val="00450C15"/>
    <w:rsid w:val="004514AB"/>
    <w:rsid w:val="00452F13"/>
    <w:rsid w:val="004557A1"/>
    <w:rsid w:val="00455E1B"/>
    <w:rsid w:val="00457563"/>
    <w:rsid w:val="00460A6D"/>
    <w:rsid w:val="00461552"/>
    <w:rsid w:val="00463D40"/>
    <w:rsid w:val="00464482"/>
    <w:rsid w:val="00464C5E"/>
    <w:rsid w:val="0046509D"/>
    <w:rsid w:val="00465B8D"/>
    <w:rsid w:val="00465BE4"/>
    <w:rsid w:val="00467A1C"/>
    <w:rsid w:val="00470095"/>
    <w:rsid w:val="00470D19"/>
    <w:rsid w:val="004711F3"/>
    <w:rsid w:val="00472360"/>
    <w:rsid w:val="00473D86"/>
    <w:rsid w:val="00474855"/>
    <w:rsid w:val="004753C8"/>
    <w:rsid w:val="004768DF"/>
    <w:rsid w:val="00480247"/>
    <w:rsid w:val="00483B35"/>
    <w:rsid w:val="00483D65"/>
    <w:rsid w:val="00484663"/>
    <w:rsid w:val="00485B85"/>
    <w:rsid w:val="00485CF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231A"/>
    <w:rsid w:val="004A4C51"/>
    <w:rsid w:val="004A4E0A"/>
    <w:rsid w:val="004A54B3"/>
    <w:rsid w:val="004A6D34"/>
    <w:rsid w:val="004A7899"/>
    <w:rsid w:val="004A7CD9"/>
    <w:rsid w:val="004B0412"/>
    <w:rsid w:val="004B0564"/>
    <w:rsid w:val="004B101C"/>
    <w:rsid w:val="004B1442"/>
    <w:rsid w:val="004B1458"/>
    <w:rsid w:val="004B1F6B"/>
    <w:rsid w:val="004B25C1"/>
    <w:rsid w:val="004B2D74"/>
    <w:rsid w:val="004B3C40"/>
    <w:rsid w:val="004B4203"/>
    <w:rsid w:val="004B666D"/>
    <w:rsid w:val="004B739E"/>
    <w:rsid w:val="004B77AB"/>
    <w:rsid w:val="004C006D"/>
    <w:rsid w:val="004C0201"/>
    <w:rsid w:val="004C12B0"/>
    <w:rsid w:val="004C20B7"/>
    <w:rsid w:val="004C3866"/>
    <w:rsid w:val="004C3A52"/>
    <w:rsid w:val="004C6739"/>
    <w:rsid w:val="004C70AC"/>
    <w:rsid w:val="004D2730"/>
    <w:rsid w:val="004D3416"/>
    <w:rsid w:val="004D5810"/>
    <w:rsid w:val="004D6484"/>
    <w:rsid w:val="004D7C53"/>
    <w:rsid w:val="004E4F56"/>
    <w:rsid w:val="004E51B5"/>
    <w:rsid w:val="004F0C55"/>
    <w:rsid w:val="004F15F4"/>
    <w:rsid w:val="004F276F"/>
    <w:rsid w:val="004F3670"/>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C10"/>
    <w:rsid w:val="00524D54"/>
    <w:rsid w:val="0052600B"/>
    <w:rsid w:val="00526617"/>
    <w:rsid w:val="00527491"/>
    <w:rsid w:val="00530553"/>
    <w:rsid w:val="00530958"/>
    <w:rsid w:val="00532585"/>
    <w:rsid w:val="00532B66"/>
    <w:rsid w:val="005346DC"/>
    <w:rsid w:val="00535483"/>
    <w:rsid w:val="00536B60"/>
    <w:rsid w:val="00537706"/>
    <w:rsid w:val="005405A8"/>
    <w:rsid w:val="00541713"/>
    <w:rsid w:val="00542E3C"/>
    <w:rsid w:val="00543246"/>
    <w:rsid w:val="005439FC"/>
    <w:rsid w:val="00543A7C"/>
    <w:rsid w:val="00543D45"/>
    <w:rsid w:val="00544705"/>
    <w:rsid w:val="00545554"/>
    <w:rsid w:val="0054662E"/>
    <w:rsid w:val="0054680A"/>
    <w:rsid w:val="00546A64"/>
    <w:rsid w:val="00547B98"/>
    <w:rsid w:val="0055251F"/>
    <w:rsid w:val="00553A11"/>
    <w:rsid w:val="00553BB6"/>
    <w:rsid w:val="00554079"/>
    <w:rsid w:val="00554F39"/>
    <w:rsid w:val="00554F62"/>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A1"/>
    <w:rsid w:val="00576ED8"/>
    <w:rsid w:val="005774C5"/>
    <w:rsid w:val="00580679"/>
    <w:rsid w:val="0058109E"/>
    <w:rsid w:val="00582798"/>
    <w:rsid w:val="00582995"/>
    <w:rsid w:val="00584EE1"/>
    <w:rsid w:val="00586A0A"/>
    <w:rsid w:val="005870D5"/>
    <w:rsid w:val="00587FAE"/>
    <w:rsid w:val="005900AD"/>
    <w:rsid w:val="005916F5"/>
    <w:rsid w:val="005923CF"/>
    <w:rsid w:val="00592CDE"/>
    <w:rsid w:val="005938A6"/>
    <w:rsid w:val="005946B7"/>
    <w:rsid w:val="00595185"/>
    <w:rsid w:val="00596002"/>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6B18"/>
    <w:rsid w:val="005C765C"/>
    <w:rsid w:val="005C7DF6"/>
    <w:rsid w:val="005D02C9"/>
    <w:rsid w:val="005D55BE"/>
    <w:rsid w:val="005D7CD4"/>
    <w:rsid w:val="005E0296"/>
    <w:rsid w:val="005E264E"/>
    <w:rsid w:val="005E2F27"/>
    <w:rsid w:val="005E3FCC"/>
    <w:rsid w:val="005E50FD"/>
    <w:rsid w:val="005E603A"/>
    <w:rsid w:val="005E620C"/>
    <w:rsid w:val="005E62F9"/>
    <w:rsid w:val="005E66E5"/>
    <w:rsid w:val="005E6D04"/>
    <w:rsid w:val="005E78BA"/>
    <w:rsid w:val="005F0524"/>
    <w:rsid w:val="005F1EF0"/>
    <w:rsid w:val="005F2454"/>
    <w:rsid w:val="005F2B91"/>
    <w:rsid w:val="005F2CB0"/>
    <w:rsid w:val="005F2D73"/>
    <w:rsid w:val="005F2EA1"/>
    <w:rsid w:val="005F3137"/>
    <w:rsid w:val="005F444D"/>
    <w:rsid w:val="005F4B1C"/>
    <w:rsid w:val="005F4D8C"/>
    <w:rsid w:val="005F6C6B"/>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4CA"/>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602"/>
    <w:rsid w:val="00647D9B"/>
    <w:rsid w:val="006518B8"/>
    <w:rsid w:val="00651AAF"/>
    <w:rsid w:val="00651DBE"/>
    <w:rsid w:val="0065275D"/>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2F54"/>
    <w:rsid w:val="006736BC"/>
    <w:rsid w:val="006746D5"/>
    <w:rsid w:val="0067532A"/>
    <w:rsid w:val="00675752"/>
    <w:rsid w:val="006770B7"/>
    <w:rsid w:val="006801E4"/>
    <w:rsid w:val="00683A9D"/>
    <w:rsid w:val="00683DB5"/>
    <w:rsid w:val="00685A4F"/>
    <w:rsid w:val="006878AC"/>
    <w:rsid w:val="00690B2A"/>
    <w:rsid w:val="006910A9"/>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26B"/>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439"/>
    <w:rsid w:val="00706541"/>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020"/>
    <w:rsid w:val="00743313"/>
    <w:rsid w:val="007437F3"/>
    <w:rsid w:val="00744521"/>
    <w:rsid w:val="007449EE"/>
    <w:rsid w:val="00744BC0"/>
    <w:rsid w:val="00745D6A"/>
    <w:rsid w:val="007474B2"/>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2ED"/>
    <w:rsid w:val="007710D7"/>
    <w:rsid w:val="00773639"/>
    <w:rsid w:val="00774353"/>
    <w:rsid w:val="00775056"/>
    <w:rsid w:val="007759A9"/>
    <w:rsid w:val="007759EF"/>
    <w:rsid w:val="00775C7B"/>
    <w:rsid w:val="00777550"/>
    <w:rsid w:val="00777BF4"/>
    <w:rsid w:val="00777E1D"/>
    <w:rsid w:val="007802C6"/>
    <w:rsid w:val="00780754"/>
    <w:rsid w:val="007807DE"/>
    <w:rsid w:val="00781C8E"/>
    <w:rsid w:val="00782ABB"/>
    <w:rsid w:val="00782B03"/>
    <w:rsid w:val="00783F69"/>
    <w:rsid w:val="00784B00"/>
    <w:rsid w:val="0078610D"/>
    <w:rsid w:val="007866CF"/>
    <w:rsid w:val="00786AC9"/>
    <w:rsid w:val="00786EC4"/>
    <w:rsid w:val="007900AF"/>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2D77"/>
    <w:rsid w:val="007B3452"/>
    <w:rsid w:val="007B5F4C"/>
    <w:rsid w:val="007B6750"/>
    <w:rsid w:val="007B6AD4"/>
    <w:rsid w:val="007B6E7E"/>
    <w:rsid w:val="007B7083"/>
    <w:rsid w:val="007B72B3"/>
    <w:rsid w:val="007B7633"/>
    <w:rsid w:val="007B7D73"/>
    <w:rsid w:val="007B7DEE"/>
    <w:rsid w:val="007B7FD7"/>
    <w:rsid w:val="007C2EAF"/>
    <w:rsid w:val="007C32D8"/>
    <w:rsid w:val="007C3BD3"/>
    <w:rsid w:val="007C3CB6"/>
    <w:rsid w:val="007C5200"/>
    <w:rsid w:val="007C650E"/>
    <w:rsid w:val="007C77AA"/>
    <w:rsid w:val="007D33C4"/>
    <w:rsid w:val="007D3472"/>
    <w:rsid w:val="007D366D"/>
    <w:rsid w:val="007D4883"/>
    <w:rsid w:val="007D4EBE"/>
    <w:rsid w:val="007D5868"/>
    <w:rsid w:val="007D5895"/>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A57"/>
    <w:rsid w:val="007E5B48"/>
    <w:rsid w:val="007E6FBE"/>
    <w:rsid w:val="007E7A25"/>
    <w:rsid w:val="007F0C64"/>
    <w:rsid w:val="007F1507"/>
    <w:rsid w:val="007F26CD"/>
    <w:rsid w:val="007F3595"/>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2FEF"/>
    <w:rsid w:val="0081313B"/>
    <w:rsid w:val="00813A3A"/>
    <w:rsid w:val="00813E00"/>
    <w:rsid w:val="00815729"/>
    <w:rsid w:val="00815AAB"/>
    <w:rsid w:val="00816D92"/>
    <w:rsid w:val="00816F1B"/>
    <w:rsid w:val="008201F7"/>
    <w:rsid w:val="00820D9F"/>
    <w:rsid w:val="00822032"/>
    <w:rsid w:val="008242EE"/>
    <w:rsid w:val="008247E4"/>
    <w:rsid w:val="0082488A"/>
    <w:rsid w:val="0082674B"/>
    <w:rsid w:val="008273C0"/>
    <w:rsid w:val="008279D8"/>
    <w:rsid w:val="00831667"/>
    <w:rsid w:val="008318AE"/>
    <w:rsid w:val="00831C3E"/>
    <w:rsid w:val="008331E9"/>
    <w:rsid w:val="00833B6E"/>
    <w:rsid w:val="00833F13"/>
    <w:rsid w:val="00833FB6"/>
    <w:rsid w:val="00834370"/>
    <w:rsid w:val="0083532F"/>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D60"/>
    <w:rsid w:val="008854D8"/>
    <w:rsid w:val="008857E8"/>
    <w:rsid w:val="00885CB2"/>
    <w:rsid w:val="00886005"/>
    <w:rsid w:val="00886E87"/>
    <w:rsid w:val="00887186"/>
    <w:rsid w:val="00887A64"/>
    <w:rsid w:val="00890032"/>
    <w:rsid w:val="0089120B"/>
    <w:rsid w:val="0089149C"/>
    <w:rsid w:val="008915CB"/>
    <w:rsid w:val="00891DBD"/>
    <w:rsid w:val="0089355A"/>
    <w:rsid w:val="00896A1E"/>
    <w:rsid w:val="00896A36"/>
    <w:rsid w:val="00897600"/>
    <w:rsid w:val="008A0461"/>
    <w:rsid w:val="008A093D"/>
    <w:rsid w:val="008A1DDE"/>
    <w:rsid w:val="008A207F"/>
    <w:rsid w:val="008A345E"/>
    <w:rsid w:val="008A4685"/>
    <w:rsid w:val="008A50AD"/>
    <w:rsid w:val="008A7807"/>
    <w:rsid w:val="008B0F60"/>
    <w:rsid w:val="008B0F8A"/>
    <w:rsid w:val="008B2418"/>
    <w:rsid w:val="008B4536"/>
    <w:rsid w:val="008B5DC5"/>
    <w:rsid w:val="008B6113"/>
    <w:rsid w:val="008B7654"/>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915"/>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257"/>
    <w:rsid w:val="0091587E"/>
    <w:rsid w:val="00916A78"/>
    <w:rsid w:val="0091702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DF"/>
    <w:rsid w:val="009370E9"/>
    <w:rsid w:val="0093758D"/>
    <w:rsid w:val="00937D9B"/>
    <w:rsid w:val="00940E65"/>
    <w:rsid w:val="0094115B"/>
    <w:rsid w:val="0094287B"/>
    <w:rsid w:val="00944853"/>
    <w:rsid w:val="009462FE"/>
    <w:rsid w:val="00946559"/>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4D72"/>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112"/>
    <w:rsid w:val="009A4BC9"/>
    <w:rsid w:val="009A50A0"/>
    <w:rsid w:val="009A53C4"/>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4B1"/>
    <w:rsid w:val="009C67FA"/>
    <w:rsid w:val="009C6906"/>
    <w:rsid w:val="009D1847"/>
    <w:rsid w:val="009D1954"/>
    <w:rsid w:val="009D3783"/>
    <w:rsid w:val="009D43A7"/>
    <w:rsid w:val="009D5403"/>
    <w:rsid w:val="009D5866"/>
    <w:rsid w:val="009D59A5"/>
    <w:rsid w:val="009D7337"/>
    <w:rsid w:val="009D7CB0"/>
    <w:rsid w:val="009E124A"/>
    <w:rsid w:val="009E133B"/>
    <w:rsid w:val="009E1E61"/>
    <w:rsid w:val="009E21B4"/>
    <w:rsid w:val="009E3D96"/>
    <w:rsid w:val="009E40D3"/>
    <w:rsid w:val="009E4263"/>
    <w:rsid w:val="009E43D6"/>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190"/>
    <w:rsid w:val="00A123CE"/>
    <w:rsid w:val="00A1384B"/>
    <w:rsid w:val="00A14A3D"/>
    <w:rsid w:val="00A14AF3"/>
    <w:rsid w:val="00A14B52"/>
    <w:rsid w:val="00A169F0"/>
    <w:rsid w:val="00A175F8"/>
    <w:rsid w:val="00A17AE4"/>
    <w:rsid w:val="00A20CCF"/>
    <w:rsid w:val="00A21BB6"/>
    <w:rsid w:val="00A222D1"/>
    <w:rsid w:val="00A22938"/>
    <w:rsid w:val="00A22A89"/>
    <w:rsid w:val="00A234E2"/>
    <w:rsid w:val="00A23924"/>
    <w:rsid w:val="00A242D8"/>
    <w:rsid w:val="00A24BFE"/>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810"/>
    <w:rsid w:val="00A46BEA"/>
    <w:rsid w:val="00A47C6E"/>
    <w:rsid w:val="00A50144"/>
    <w:rsid w:val="00A501D9"/>
    <w:rsid w:val="00A503F1"/>
    <w:rsid w:val="00A53328"/>
    <w:rsid w:val="00A53874"/>
    <w:rsid w:val="00A55B96"/>
    <w:rsid w:val="00A56BE5"/>
    <w:rsid w:val="00A56DE0"/>
    <w:rsid w:val="00A57E93"/>
    <w:rsid w:val="00A60DA8"/>
    <w:rsid w:val="00A6137C"/>
    <w:rsid w:val="00A615A6"/>
    <w:rsid w:val="00A61A88"/>
    <w:rsid w:val="00A623D0"/>
    <w:rsid w:val="00A631EB"/>
    <w:rsid w:val="00A67996"/>
    <w:rsid w:val="00A711B3"/>
    <w:rsid w:val="00A71C2B"/>
    <w:rsid w:val="00A72E82"/>
    <w:rsid w:val="00A76423"/>
    <w:rsid w:val="00A773D0"/>
    <w:rsid w:val="00A77738"/>
    <w:rsid w:val="00A7786A"/>
    <w:rsid w:val="00A779A2"/>
    <w:rsid w:val="00A80131"/>
    <w:rsid w:val="00A8140E"/>
    <w:rsid w:val="00A818E6"/>
    <w:rsid w:val="00A81A71"/>
    <w:rsid w:val="00A84C61"/>
    <w:rsid w:val="00A8625C"/>
    <w:rsid w:val="00A86DFE"/>
    <w:rsid w:val="00A870CA"/>
    <w:rsid w:val="00A87442"/>
    <w:rsid w:val="00A90D91"/>
    <w:rsid w:val="00A93112"/>
    <w:rsid w:val="00A932DE"/>
    <w:rsid w:val="00A95178"/>
    <w:rsid w:val="00A9656E"/>
    <w:rsid w:val="00AA186B"/>
    <w:rsid w:val="00AA38F6"/>
    <w:rsid w:val="00AA4965"/>
    <w:rsid w:val="00AA6DDB"/>
    <w:rsid w:val="00AB0830"/>
    <w:rsid w:val="00AB2CCC"/>
    <w:rsid w:val="00AB4F2C"/>
    <w:rsid w:val="00AB644B"/>
    <w:rsid w:val="00AB64F8"/>
    <w:rsid w:val="00AB6A66"/>
    <w:rsid w:val="00AC6ECF"/>
    <w:rsid w:val="00AC7B6B"/>
    <w:rsid w:val="00AD1216"/>
    <w:rsid w:val="00AD1BC7"/>
    <w:rsid w:val="00AD4477"/>
    <w:rsid w:val="00AD4F51"/>
    <w:rsid w:val="00AD5285"/>
    <w:rsid w:val="00AD54D3"/>
    <w:rsid w:val="00AD6070"/>
    <w:rsid w:val="00AD70E0"/>
    <w:rsid w:val="00AE0028"/>
    <w:rsid w:val="00AE00FE"/>
    <w:rsid w:val="00AE0451"/>
    <w:rsid w:val="00AE0803"/>
    <w:rsid w:val="00AE0ADB"/>
    <w:rsid w:val="00AE2662"/>
    <w:rsid w:val="00AE3CBD"/>
    <w:rsid w:val="00AE5D21"/>
    <w:rsid w:val="00AE6452"/>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54ED"/>
    <w:rsid w:val="00B16155"/>
    <w:rsid w:val="00B171FD"/>
    <w:rsid w:val="00B17588"/>
    <w:rsid w:val="00B17FBC"/>
    <w:rsid w:val="00B200F9"/>
    <w:rsid w:val="00B20D58"/>
    <w:rsid w:val="00B22535"/>
    <w:rsid w:val="00B2289A"/>
    <w:rsid w:val="00B2441D"/>
    <w:rsid w:val="00B24E10"/>
    <w:rsid w:val="00B25E7E"/>
    <w:rsid w:val="00B2670C"/>
    <w:rsid w:val="00B2719B"/>
    <w:rsid w:val="00B310C1"/>
    <w:rsid w:val="00B31E65"/>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76B"/>
    <w:rsid w:val="00B62F6C"/>
    <w:rsid w:val="00B634F2"/>
    <w:rsid w:val="00B63D08"/>
    <w:rsid w:val="00B649CE"/>
    <w:rsid w:val="00B65F11"/>
    <w:rsid w:val="00B673AC"/>
    <w:rsid w:val="00B6777F"/>
    <w:rsid w:val="00B720BA"/>
    <w:rsid w:val="00B733B0"/>
    <w:rsid w:val="00B745B3"/>
    <w:rsid w:val="00B74F2B"/>
    <w:rsid w:val="00B74F7D"/>
    <w:rsid w:val="00B76EAD"/>
    <w:rsid w:val="00B802FC"/>
    <w:rsid w:val="00B80E01"/>
    <w:rsid w:val="00B81D1E"/>
    <w:rsid w:val="00B82E77"/>
    <w:rsid w:val="00B82FEF"/>
    <w:rsid w:val="00B84428"/>
    <w:rsid w:val="00B84909"/>
    <w:rsid w:val="00B85173"/>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483"/>
    <w:rsid w:val="00BA6901"/>
    <w:rsid w:val="00BA72DC"/>
    <w:rsid w:val="00BA76F5"/>
    <w:rsid w:val="00BA7960"/>
    <w:rsid w:val="00BA7F63"/>
    <w:rsid w:val="00BB017D"/>
    <w:rsid w:val="00BB0CCF"/>
    <w:rsid w:val="00BB3989"/>
    <w:rsid w:val="00BB3D68"/>
    <w:rsid w:val="00BB44CD"/>
    <w:rsid w:val="00BB58AA"/>
    <w:rsid w:val="00BB667C"/>
    <w:rsid w:val="00BB7964"/>
    <w:rsid w:val="00BC0309"/>
    <w:rsid w:val="00BC0FE3"/>
    <w:rsid w:val="00BC1037"/>
    <w:rsid w:val="00BC2F0B"/>
    <w:rsid w:val="00BC3206"/>
    <w:rsid w:val="00BC469D"/>
    <w:rsid w:val="00BC4832"/>
    <w:rsid w:val="00BC5451"/>
    <w:rsid w:val="00BC5744"/>
    <w:rsid w:val="00BC5B8A"/>
    <w:rsid w:val="00BD1613"/>
    <w:rsid w:val="00BD3AB4"/>
    <w:rsid w:val="00BD6932"/>
    <w:rsid w:val="00BD6D24"/>
    <w:rsid w:val="00BE049B"/>
    <w:rsid w:val="00BE0825"/>
    <w:rsid w:val="00BE13CB"/>
    <w:rsid w:val="00BE1A22"/>
    <w:rsid w:val="00BE1F9E"/>
    <w:rsid w:val="00BE2557"/>
    <w:rsid w:val="00BE2BF8"/>
    <w:rsid w:val="00BE3B1E"/>
    <w:rsid w:val="00BE46F4"/>
    <w:rsid w:val="00BE4F54"/>
    <w:rsid w:val="00BE525E"/>
    <w:rsid w:val="00BE5C59"/>
    <w:rsid w:val="00BE627E"/>
    <w:rsid w:val="00BE71DD"/>
    <w:rsid w:val="00BE77E1"/>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E1D"/>
    <w:rsid w:val="00C3135C"/>
    <w:rsid w:val="00C3244D"/>
    <w:rsid w:val="00C33102"/>
    <w:rsid w:val="00C3337E"/>
    <w:rsid w:val="00C33682"/>
    <w:rsid w:val="00C34977"/>
    <w:rsid w:val="00C352FA"/>
    <w:rsid w:val="00C35794"/>
    <w:rsid w:val="00C36019"/>
    <w:rsid w:val="00C377D6"/>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254"/>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CB7"/>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2C8"/>
    <w:rsid w:val="00CB76AA"/>
    <w:rsid w:val="00CB790E"/>
    <w:rsid w:val="00CC0E3F"/>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345"/>
    <w:rsid w:val="00CE46AE"/>
    <w:rsid w:val="00CE6394"/>
    <w:rsid w:val="00CF01F9"/>
    <w:rsid w:val="00CF071C"/>
    <w:rsid w:val="00CF0A09"/>
    <w:rsid w:val="00CF12B7"/>
    <w:rsid w:val="00CF2E7C"/>
    <w:rsid w:val="00CF3188"/>
    <w:rsid w:val="00CF31E5"/>
    <w:rsid w:val="00CF3B95"/>
    <w:rsid w:val="00CF4338"/>
    <w:rsid w:val="00CF5268"/>
    <w:rsid w:val="00CF57A6"/>
    <w:rsid w:val="00CF5976"/>
    <w:rsid w:val="00CF5D92"/>
    <w:rsid w:val="00D000F3"/>
    <w:rsid w:val="00D004AD"/>
    <w:rsid w:val="00D01B92"/>
    <w:rsid w:val="00D02935"/>
    <w:rsid w:val="00D02C80"/>
    <w:rsid w:val="00D02FA1"/>
    <w:rsid w:val="00D056E9"/>
    <w:rsid w:val="00D07A89"/>
    <w:rsid w:val="00D106A5"/>
    <w:rsid w:val="00D12870"/>
    <w:rsid w:val="00D12DED"/>
    <w:rsid w:val="00D1407E"/>
    <w:rsid w:val="00D147C0"/>
    <w:rsid w:val="00D14DD0"/>
    <w:rsid w:val="00D15332"/>
    <w:rsid w:val="00D15379"/>
    <w:rsid w:val="00D15775"/>
    <w:rsid w:val="00D15E8F"/>
    <w:rsid w:val="00D166A9"/>
    <w:rsid w:val="00D16C1B"/>
    <w:rsid w:val="00D1763B"/>
    <w:rsid w:val="00D177DF"/>
    <w:rsid w:val="00D17FD2"/>
    <w:rsid w:val="00D20C74"/>
    <w:rsid w:val="00D217C1"/>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7855"/>
    <w:rsid w:val="00D405E6"/>
    <w:rsid w:val="00D416E3"/>
    <w:rsid w:val="00D42730"/>
    <w:rsid w:val="00D42E4F"/>
    <w:rsid w:val="00D43237"/>
    <w:rsid w:val="00D4323A"/>
    <w:rsid w:val="00D442ED"/>
    <w:rsid w:val="00D44C0E"/>
    <w:rsid w:val="00D46116"/>
    <w:rsid w:val="00D46297"/>
    <w:rsid w:val="00D4693D"/>
    <w:rsid w:val="00D46B07"/>
    <w:rsid w:val="00D47404"/>
    <w:rsid w:val="00D47609"/>
    <w:rsid w:val="00D510DA"/>
    <w:rsid w:val="00D5164E"/>
    <w:rsid w:val="00D53F8D"/>
    <w:rsid w:val="00D547E6"/>
    <w:rsid w:val="00D56EA7"/>
    <w:rsid w:val="00D57AD5"/>
    <w:rsid w:val="00D6003F"/>
    <w:rsid w:val="00D60275"/>
    <w:rsid w:val="00D637B2"/>
    <w:rsid w:val="00D6386F"/>
    <w:rsid w:val="00D65C32"/>
    <w:rsid w:val="00D665FD"/>
    <w:rsid w:val="00D66DDD"/>
    <w:rsid w:val="00D67EB7"/>
    <w:rsid w:val="00D70367"/>
    <w:rsid w:val="00D7554F"/>
    <w:rsid w:val="00D765DD"/>
    <w:rsid w:val="00D76854"/>
    <w:rsid w:val="00D80C46"/>
    <w:rsid w:val="00D818DF"/>
    <w:rsid w:val="00D81ABB"/>
    <w:rsid w:val="00D825A8"/>
    <w:rsid w:val="00D83201"/>
    <w:rsid w:val="00D8337E"/>
    <w:rsid w:val="00D8345D"/>
    <w:rsid w:val="00D87651"/>
    <w:rsid w:val="00D9109A"/>
    <w:rsid w:val="00D91BDC"/>
    <w:rsid w:val="00D91F15"/>
    <w:rsid w:val="00D93138"/>
    <w:rsid w:val="00D93C78"/>
    <w:rsid w:val="00D94180"/>
    <w:rsid w:val="00D9431B"/>
    <w:rsid w:val="00D95B33"/>
    <w:rsid w:val="00D964E4"/>
    <w:rsid w:val="00D97224"/>
    <w:rsid w:val="00D977B0"/>
    <w:rsid w:val="00D978E4"/>
    <w:rsid w:val="00DA0910"/>
    <w:rsid w:val="00DA1743"/>
    <w:rsid w:val="00DA1E8C"/>
    <w:rsid w:val="00DA2273"/>
    <w:rsid w:val="00DA3B49"/>
    <w:rsid w:val="00DA416F"/>
    <w:rsid w:val="00DA420C"/>
    <w:rsid w:val="00DA63F5"/>
    <w:rsid w:val="00DA6F09"/>
    <w:rsid w:val="00DA7A9F"/>
    <w:rsid w:val="00DA7B4E"/>
    <w:rsid w:val="00DB02EB"/>
    <w:rsid w:val="00DB1960"/>
    <w:rsid w:val="00DB1E72"/>
    <w:rsid w:val="00DB2C4B"/>
    <w:rsid w:val="00DB2CAA"/>
    <w:rsid w:val="00DB4C6F"/>
    <w:rsid w:val="00DB61E7"/>
    <w:rsid w:val="00DB6C3C"/>
    <w:rsid w:val="00DC18A5"/>
    <w:rsid w:val="00DC1D8C"/>
    <w:rsid w:val="00DC231D"/>
    <w:rsid w:val="00DC31BF"/>
    <w:rsid w:val="00DC33EF"/>
    <w:rsid w:val="00DC3551"/>
    <w:rsid w:val="00DC3C2A"/>
    <w:rsid w:val="00DC4911"/>
    <w:rsid w:val="00DC704D"/>
    <w:rsid w:val="00DC7CFF"/>
    <w:rsid w:val="00DC7EFD"/>
    <w:rsid w:val="00DD090B"/>
    <w:rsid w:val="00DD15AE"/>
    <w:rsid w:val="00DD292A"/>
    <w:rsid w:val="00DD3144"/>
    <w:rsid w:val="00DD35ED"/>
    <w:rsid w:val="00DD3B33"/>
    <w:rsid w:val="00DD4382"/>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A61"/>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2C09"/>
    <w:rsid w:val="00E330BA"/>
    <w:rsid w:val="00E34DED"/>
    <w:rsid w:val="00E36D6E"/>
    <w:rsid w:val="00E37C8B"/>
    <w:rsid w:val="00E37ECE"/>
    <w:rsid w:val="00E405B9"/>
    <w:rsid w:val="00E41941"/>
    <w:rsid w:val="00E425D4"/>
    <w:rsid w:val="00E427AC"/>
    <w:rsid w:val="00E43229"/>
    <w:rsid w:val="00E454C9"/>
    <w:rsid w:val="00E50761"/>
    <w:rsid w:val="00E509D9"/>
    <w:rsid w:val="00E50B13"/>
    <w:rsid w:val="00E51B16"/>
    <w:rsid w:val="00E554A3"/>
    <w:rsid w:val="00E56917"/>
    <w:rsid w:val="00E573C2"/>
    <w:rsid w:val="00E579FC"/>
    <w:rsid w:val="00E603D8"/>
    <w:rsid w:val="00E60CA5"/>
    <w:rsid w:val="00E6223B"/>
    <w:rsid w:val="00E63190"/>
    <w:rsid w:val="00E631C3"/>
    <w:rsid w:val="00E631DE"/>
    <w:rsid w:val="00E636E4"/>
    <w:rsid w:val="00E63AC5"/>
    <w:rsid w:val="00E64AEA"/>
    <w:rsid w:val="00E65D70"/>
    <w:rsid w:val="00E6706E"/>
    <w:rsid w:val="00E67095"/>
    <w:rsid w:val="00E67A04"/>
    <w:rsid w:val="00E70A6A"/>
    <w:rsid w:val="00E70EA3"/>
    <w:rsid w:val="00E71E7C"/>
    <w:rsid w:val="00E727D2"/>
    <w:rsid w:val="00E73270"/>
    <w:rsid w:val="00E733E3"/>
    <w:rsid w:val="00E7355A"/>
    <w:rsid w:val="00E73663"/>
    <w:rsid w:val="00E738CA"/>
    <w:rsid w:val="00E7486E"/>
    <w:rsid w:val="00E75E25"/>
    <w:rsid w:val="00E76F8F"/>
    <w:rsid w:val="00E81727"/>
    <w:rsid w:val="00E81E4F"/>
    <w:rsid w:val="00E8221C"/>
    <w:rsid w:val="00E83D9D"/>
    <w:rsid w:val="00E83E48"/>
    <w:rsid w:val="00E85CA5"/>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8B4"/>
    <w:rsid w:val="00EC0AB2"/>
    <w:rsid w:val="00EC24B4"/>
    <w:rsid w:val="00EC2AE7"/>
    <w:rsid w:val="00EC2EDF"/>
    <w:rsid w:val="00EC42A1"/>
    <w:rsid w:val="00EC523C"/>
    <w:rsid w:val="00EC675B"/>
    <w:rsid w:val="00EC7098"/>
    <w:rsid w:val="00ED095F"/>
    <w:rsid w:val="00ED1DE2"/>
    <w:rsid w:val="00ED34A7"/>
    <w:rsid w:val="00ED6FE1"/>
    <w:rsid w:val="00ED77B0"/>
    <w:rsid w:val="00ED7E12"/>
    <w:rsid w:val="00EE0144"/>
    <w:rsid w:val="00EE04F1"/>
    <w:rsid w:val="00EE07D1"/>
    <w:rsid w:val="00EE1DAD"/>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05C"/>
    <w:rsid w:val="00F13A6D"/>
    <w:rsid w:val="00F156A3"/>
    <w:rsid w:val="00F1597E"/>
    <w:rsid w:val="00F16329"/>
    <w:rsid w:val="00F17407"/>
    <w:rsid w:val="00F179A4"/>
    <w:rsid w:val="00F21C87"/>
    <w:rsid w:val="00F21E1D"/>
    <w:rsid w:val="00F233CB"/>
    <w:rsid w:val="00F23936"/>
    <w:rsid w:val="00F2552D"/>
    <w:rsid w:val="00F255C3"/>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B53"/>
    <w:rsid w:val="00F511CC"/>
    <w:rsid w:val="00F51334"/>
    <w:rsid w:val="00F51853"/>
    <w:rsid w:val="00F5203B"/>
    <w:rsid w:val="00F526AD"/>
    <w:rsid w:val="00F527B7"/>
    <w:rsid w:val="00F52E73"/>
    <w:rsid w:val="00F52F6F"/>
    <w:rsid w:val="00F53828"/>
    <w:rsid w:val="00F5517E"/>
    <w:rsid w:val="00F60B38"/>
    <w:rsid w:val="00F60C0E"/>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F90"/>
    <w:rsid w:val="00F75058"/>
    <w:rsid w:val="00F75726"/>
    <w:rsid w:val="00F7660F"/>
    <w:rsid w:val="00F768AD"/>
    <w:rsid w:val="00F76B75"/>
    <w:rsid w:val="00F774EE"/>
    <w:rsid w:val="00F7765B"/>
    <w:rsid w:val="00F77EB8"/>
    <w:rsid w:val="00F8493A"/>
    <w:rsid w:val="00F86AAC"/>
    <w:rsid w:val="00F86B69"/>
    <w:rsid w:val="00F86D14"/>
    <w:rsid w:val="00F87716"/>
    <w:rsid w:val="00F87E26"/>
    <w:rsid w:val="00F909A2"/>
    <w:rsid w:val="00F90B02"/>
    <w:rsid w:val="00F921FF"/>
    <w:rsid w:val="00F940FD"/>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97F"/>
    <w:rsid w:val="00FA4B8D"/>
    <w:rsid w:val="00FA64BE"/>
    <w:rsid w:val="00FA6DED"/>
    <w:rsid w:val="00FA76DF"/>
    <w:rsid w:val="00FA78EA"/>
    <w:rsid w:val="00FB5A70"/>
    <w:rsid w:val="00FC0689"/>
    <w:rsid w:val="00FC13F0"/>
    <w:rsid w:val="00FC337B"/>
    <w:rsid w:val="00FC4E53"/>
    <w:rsid w:val="00FC5AA7"/>
    <w:rsid w:val="00FC6E48"/>
    <w:rsid w:val="00FD3587"/>
    <w:rsid w:val="00FD42FF"/>
    <w:rsid w:val="00FD4B6C"/>
    <w:rsid w:val="00FD5199"/>
    <w:rsid w:val="00FE081A"/>
    <w:rsid w:val="00FE0E9B"/>
    <w:rsid w:val="00FE0EA5"/>
    <w:rsid w:val="00FE20A2"/>
    <w:rsid w:val="00FE2B95"/>
    <w:rsid w:val="00FE2BD2"/>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09E"/>
    <w:rsid w:val="00FF3644"/>
    <w:rsid w:val="00FF42E9"/>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rsid w:val="004F3670"/>
    <w:rPr>
      <w:rFonts w:ascii="Times New Roman" w:eastAsia="Times New Roman" w:hAnsi="Times New Roman" w:cs="Times New Roman"/>
      <w:kern w:val="0"/>
      <w:sz w:val="18"/>
      <w:lang w:val="en-US"/>
      <w14:ligatures w14:val="none"/>
    </w:rPr>
  </w:style>
  <w:style w:type="paragraph" w:styleId="NormalWeb">
    <w:name w:val="Normal (Web)"/>
    <w:basedOn w:val="Normal"/>
    <w:uiPriority w:val="99"/>
    <w:semiHidden/>
    <w:unhideWhenUsed/>
    <w:rsid w:val="00DC355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9518746">
      <w:bodyDiv w:val="1"/>
      <w:marLeft w:val="0"/>
      <w:marRight w:val="0"/>
      <w:marTop w:val="0"/>
      <w:marBottom w:val="0"/>
      <w:divBdr>
        <w:top w:val="none" w:sz="0" w:space="0" w:color="auto"/>
        <w:left w:val="none" w:sz="0" w:space="0" w:color="auto"/>
        <w:bottom w:val="none" w:sz="0" w:space="0" w:color="auto"/>
        <w:right w:val="none" w:sz="0" w:space="0" w:color="auto"/>
      </w:divBdr>
    </w:div>
    <w:div w:id="22322537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7238793">
      <w:bodyDiv w:val="1"/>
      <w:marLeft w:val="0"/>
      <w:marRight w:val="0"/>
      <w:marTop w:val="0"/>
      <w:marBottom w:val="0"/>
      <w:divBdr>
        <w:top w:val="none" w:sz="0" w:space="0" w:color="auto"/>
        <w:left w:val="none" w:sz="0" w:space="0" w:color="auto"/>
        <w:bottom w:val="none" w:sz="0" w:space="0" w:color="auto"/>
        <w:right w:val="none" w:sz="0" w:space="0" w:color="auto"/>
      </w:divBdr>
    </w:div>
    <w:div w:id="986058668">
      <w:bodyDiv w:val="1"/>
      <w:marLeft w:val="0"/>
      <w:marRight w:val="0"/>
      <w:marTop w:val="0"/>
      <w:marBottom w:val="0"/>
      <w:divBdr>
        <w:top w:val="none" w:sz="0" w:space="0" w:color="auto"/>
        <w:left w:val="none" w:sz="0" w:space="0" w:color="auto"/>
        <w:bottom w:val="none" w:sz="0" w:space="0" w:color="auto"/>
        <w:right w:val="none" w:sz="0" w:space="0" w:color="auto"/>
      </w:divBdr>
    </w:div>
    <w:div w:id="103719888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480750">
      <w:bodyDiv w:val="1"/>
      <w:marLeft w:val="0"/>
      <w:marRight w:val="0"/>
      <w:marTop w:val="0"/>
      <w:marBottom w:val="0"/>
      <w:divBdr>
        <w:top w:val="none" w:sz="0" w:space="0" w:color="auto"/>
        <w:left w:val="none" w:sz="0" w:space="0" w:color="auto"/>
        <w:bottom w:val="none" w:sz="0" w:space="0" w:color="auto"/>
        <w:right w:val="none" w:sz="0" w:space="0" w:color="auto"/>
      </w:divBdr>
    </w:div>
    <w:div w:id="1738092339">
      <w:bodyDiv w:val="1"/>
      <w:marLeft w:val="0"/>
      <w:marRight w:val="0"/>
      <w:marTop w:val="0"/>
      <w:marBottom w:val="0"/>
      <w:divBdr>
        <w:top w:val="none" w:sz="0" w:space="0" w:color="auto"/>
        <w:left w:val="none" w:sz="0" w:space="0" w:color="auto"/>
        <w:bottom w:val="none" w:sz="0" w:space="0" w:color="auto"/>
        <w:right w:val="none" w:sz="0" w:space="0" w:color="auto"/>
      </w:divBdr>
    </w:div>
    <w:div w:id="1754742397">
      <w:bodyDiv w:val="1"/>
      <w:marLeft w:val="0"/>
      <w:marRight w:val="0"/>
      <w:marTop w:val="0"/>
      <w:marBottom w:val="0"/>
      <w:divBdr>
        <w:top w:val="none" w:sz="0" w:space="0" w:color="auto"/>
        <w:left w:val="none" w:sz="0" w:space="0" w:color="auto"/>
        <w:bottom w:val="none" w:sz="0" w:space="0" w:color="auto"/>
        <w:right w:val="none" w:sz="0" w:space="0" w:color="auto"/>
      </w:divBdr>
    </w:div>
    <w:div w:id="1781144986">
      <w:bodyDiv w:val="1"/>
      <w:marLeft w:val="0"/>
      <w:marRight w:val="0"/>
      <w:marTop w:val="0"/>
      <w:marBottom w:val="0"/>
      <w:divBdr>
        <w:top w:val="none" w:sz="0" w:space="0" w:color="auto"/>
        <w:left w:val="none" w:sz="0" w:space="0" w:color="auto"/>
        <w:bottom w:val="none" w:sz="0" w:space="0" w:color="auto"/>
        <w:right w:val="none" w:sz="0" w:space="0" w:color="auto"/>
      </w:divBdr>
    </w:div>
    <w:div w:id="179505527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58684214">
      <w:bodyDiv w:val="1"/>
      <w:marLeft w:val="0"/>
      <w:marRight w:val="0"/>
      <w:marTop w:val="0"/>
      <w:marBottom w:val="0"/>
      <w:divBdr>
        <w:top w:val="none" w:sz="0" w:space="0" w:color="auto"/>
        <w:left w:val="none" w:sz="0" w:space="0" w:color="auto"/>
        <w:bottom w:val="none" w:sz="0" w:space="0" w:color="auto"/>
        <w:right w:val="none" w:sz="0" w:space="0" w:color="auto"/>
      </w:divBdr>
    </w:div>
    <w:div w:id="196661515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205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netl.doe.gov/sites/default/files/2024-06/DOE-NETL%20Methane%20Measurement%20Guidelines%20for%20Marginal%20Conventional%20Wells%20April%202024.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energy.gov/fecm/project-selections-foa-3256-methane-emissions-reduction-program-oil-and-gas-methane-monitoring"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netl.doe.gov/sites/default/files/2024-06/DOE-NETL%20Methane%20Measurement%20Guidelines%20for%20Marginal%20Conventional%20Wells%20April%202024.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energy.gov/fecm/project-selections-foa-3256-methane-emissions-reduction-program-oil-and-gas-methane-monitoring" TargetMode="External"/><Relationship Id="rId28"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625233205/https:/www.epa.gov/inflation-reduction-act/methane-emissions-reduction-progra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catalog.energy.gov/wp-content/uploads/2024/10/MMT-IOGCC-Oct-2024.pdf" TargetMode="External"/><Relationship Id="rId27" Type="http://schemas.openxmlformats.org/officeDocument/2006/relationships/hyperlink" Target="https://netl.doe.gov/sites/default/files/2024-06/DOE-NETL%20Methane%20Measurement%20Guidelines%20for%20Marginal%20Conventional%20Wells%20April%202024.pdf" TargetMode="Externa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115</Pages>
  <Words>23932</Words>
  <Characters>132826</Characters>
  <Application>Microsoft Office Word</Application>
  <DocSecurity>0</DocSecurity>
  <Lines>8301</Lines>
  <Paragraphs>3645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McKitterick, Will</cp:lastModifiedBy>
  <cp:revision>3</cp:revision>
  <cp:lastPrinted>2025-03-21T00:14:00Z</cp:lastPrinted>
  <dcterms:created xsi:type="dcterms:W3CDTF">2025-06-27T23:57:00Z</dcterms:created>
  <dcterms:modified xsi:type="dcterms:W3CDTF">2025-07-01T00:44:00Z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530710663v.1</vt:lpwstr>
  </property>
  <property fmtid="{D5CDD505-2E9C-101B-9397-08002B2CF9AE}" pid="5" name="DocXFormat">
    <vt:lpwstr>DocID</vt:lpwstr>
  </property>
  <property fmtid="{D5CDD505-2E9C-101B-9397-08002B2CF9AE}" pid="6" name="DocXLocation">
    <vt:lpwstr>EndOfDocument</vt:lpwstr>
  </property>
</Properties>
</file>